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F3A5E7">
      <w:pPr>
        <w:spacing w:line="520" w:lineRule="exact"/>
        <w:jc w:val="center"/>
        <w:rPr>
          <w:rFonts w:hint="eastAsia"/>
          <w:b/>
          <w:sz w:val="30"/>
          <w:szCs w:val="30"/>
        </w:rPr>
      </w:pPr>
    </w:p>
    <w:p w14:paraId="6C3059B2">
      <w:pPr>
        <w:spacing w:line="520" w:lineRule="exact"/>
        <w:jc w:val="distribute"/>
        <w:rPr>
          <w:rFonts w:hint="eastAsia" w:ascii="华文中宋" w:hAnsi="华文中宋" w:eastAsia="华文中宋"/>
          <w:b/>
          <w:sz w:val="52"/>
          <w:szCs w:val="52"/>
        </w:rPr>
      </w:pPr>
      <w:r>
        <w:rPr>
          <w:rFonts w:hint="eastAsia" w:ascii="华文中宋" w:hAnsi="华文中宋" w:eastAsia="华文中宋"/>
          <w:b/>
          <w:sz w:val="52"/>
          <w:szCs w:val="52"/>
        </w:rPr>
        <w:t>江苏建达全过程工程咨询有限公司</w:t>
      </w:r>
    </w:p>
    <w:p w14:paraId="15EDE625">
      <w:pPr>
        <w:spacing w:line="520" w:lineRule="exact"/>
        <w:jc w:val="center"/>
        <w:rPr>
          <w:rFonts w:hint="eastAsia"/>
          <w:b/>
          <w:sz w:val="30"/>
          <w:szCs w:val="30"/>
        </w:rPr>
      </w:pPr>
    </w:p>
    <w:tbl>
      <w:tblPr>
        <w:tblStyle w:val="8"/>
        <w:tblW w:w="9036" w:type="dxa"/>
        <w:tblInd w:w="0" w:type="dxa"/>
        <w:tblLayout w:type="fixed"/>
        <w:tblCellMar>
          <w:top w:w="0" w:type="dxa"/>
          <w:left w:w="108" w:type="dxa"/>
          <w:bottom w:w="0" w:type="dxa"/>
          <w:right w:w="108" w:type="dxa"/>
        </w:tblCellMar>
      </w:tblPr>
      <w:tblGrid>
        <w:gridCol w:w="9036"/>
      </w:tblGrid>
      <w:tr w14:paraId="1DF4BE82">
        <w:tblPrEx>
          <w:tblCellMar>
            <w:top w:w="0" w:type="dxa"/>
            <w:left w:w="108" w:type="dxa"/>
            <w:bottom w:w="0" w:type="dxa"/>
            <w:right w:w="108" w:type="dxa"/>
          </w:tblCellMar>
        </w:tblPrEx>
        <w:tc>
          <w:tcPr>
            <w:tcW w:w="9036" w:type="dxa"/>
          </w:tcPr>
          <w:p w14:paraId="62A2E33E">
            <w:pPr>
              <w:spacing w:line="520" w:lineRule="exact"/>
              <w:jc w:val="center"/>
              <w:rPr>
                <w:rFonts w:hint="eastAsia" w:ascii="仿宋_GB2312" w:eastAsia="仿宋"/>
                <w:sz w:val="32"/>
                <w:szCs w:val="32"/>
              </w:rPr>
            </w:pPr>
            <w:bookmarkStart w:id="0" w:name="_Hlk105676742"/>
            <w:r>
              <w:rPr>
                <w:rFonts w:hint="eastAsia" w:ascii="仿宋" w:hAnsi="仿宋" w:eastAsia="仿宋"/>
                <w:sz w:val="32"/>
                <w:szCs w:val="32"/>
                <w:highlight w:val="none"/>
                <w:lang w:val="en-US" w:eastAsia="zh-CN"/>
              </w:rPr>
              <w:t>苏建</w:t>
            </w:r>
            <w:r>
              <w:rPr>
                <w:rFonts w:hint="eastAsia" w:ascii="仿宋" w:hAnsi="仿宋" w:eastAsia="仿宋"/>
                <w:sz w:val="32"/>
                <w:szCs w:val="32"/>
                <w:highlight w:val="none"/>
              </w:rPr>
              <w:t>造发〔202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SY004</w:t>
            </w:r>
            <w:r>
              <w:rPr>
                <w:rFonts w:hint="eastAsia" w:ascii="仿宋" w:hAnsi="仿宋" w:eastAsia="仿宋"/>
                <w:sz w:val="32"/>
                <w:szCs w:val="32"/>
                <w:highlight w:val="none"/>
              </w:rPr>
              <w:t>号</w:t>
            </w:r>
            <w:bookmarkEnd w:id="0"/>
          </w:p>
        </w:tc>
      </w:tr>
    </w:tbl>
    <w:p w14:paraId="513D33CD">
      <w:pPr>
        <w:spacing w:line="520" w:lineRule="exact"/>
        <w:jc w:val="center"/>
        <w:rPr>
          <w:rFonts w:hint="eastAsia"/>
          <w:sz w:val="24"/>
        </w:rPr>
      </w:pPr>
      <w:r>
        <w:rPr>
          <w:rFonts w:hint="eastAsia"/>
          <w:sz w:val="24"/>
        </w:rPr>
        <mc:AlternateContent>
          <mc:Choice Requires="wps">
            <w:drawing>
              <wp:anchor distT="0" distB="0" distL="114300" distR="114300" simplePos="0" relativeHeight="251659264" behindDoc="0" locked="0" layoutInCell="1" allowOverlap="1">
                <wp:simplePos x="0" y="0"/>
                <wp:positionH relativeFrom="column">
                  <wp:posOffset>-160020</wp:posOffset>
                </wp:positionH>
                <wp:positionV relativeFrom="paragraph">
                  <wp:posOffset>89535</wp:posOffset>
                </wp:positionV>
                <wp:extent cx="5586095" cy="0"/>
                <wp:effectExtent l="0" t="0" r="0" b="0"/>
                <wp:wrapNone/>
                <wp:docPr id="2" name="直线 27"/>
                <wp:cNvGraphicFramePr/>
                <a:graphic xmlns:a="http://schemas.openxmlformats.org/drawingml/2006/main">
                  <a:graphicData uri="http://schemas.microsoft.com/office/word/2010/wordprocessingShape">
                    <wps:wsp>
                      <wps:cNvCnPr>
                        <a:cxnSpLocks noChangeShapeType="1"/>
                      </wps:cNvCnPr>
                      <wps:spPr bwMode="auto">
                        <a:xfrm flipV="1">
                          <a:off x="0" y="0"/>
                          <a:ext cx="5586277" cy="0"/>
                        </a:xfrm>
                        <a:prstGeom prst="line">
                          <a:avLst/>
                        </a:prstGeom>
                        <a:noFill/>
                        <a:ln w="19050">
                          <a:solidFill>
                            <a:schemeClr val="tx1"/>
                          </a:solidFill>
                          <a:round/>
                        </a:ln>
                        <a:effectLst/>
                      </wps:spPr>
                      <wps:bodyPr/>
                    </wps:wsp>
                  </a:graphicData>
                </a:graphic>
              </wp:anchor>
            </w:drawing>
          </mc:Choice>
          <mc:Fallback>
            <w:pict>
              <v:line id="直线 27" o:spid="_x0000_s1026" o:spt="20" style="position:absolute;left:0pt;flip:y;margin-left:-12.6pt;margin-top:7.05pt;height:0pt;width:439.85pt;z-index:251659264;mso-width-relative:page;mso-height-relative:page;" filled="f" stroked="t" coordsize="21600,21600" o:gfxdata="UEsDBAoAAAAAAIdO4kAAAAAAAAAAAAAAAAAEAAAAZHJzL1BLAwQUAAAACACHTuJA9lmVztUAAAAJ&#10;AQAADwAAAGRycy9kb3ducmV2LnhtbE2Py27CMBBF95X4B2uQukFgJyIIhTgsKhWpEl3w+AATD0kg&#10;HkexefTvO1UX7XLmHt1HsX66TtxxCK0nDclMgUCqvG2p1nA8vE+XIEI0ZE3nCTV8YYB1OXopTG79&#10;g3Z438dasAmF3GhoYuxzKUPVoDNh5nsk1s5+cCbyOdTSDubB5q6TqVIL6UxLnNCYHt8arK77m9MQ&#10;JrT93G059IB4VpdJv9m4D61fx4lagYj4jH8w/NTn6lByp5O/kQ2i0zBNs5RRFuYJCAaW2TwDcfp9&#10;yLKQ/xeU31BLAwQUAAAACACHTuJA2yxTeuMBAAC7AwAADgAAAGRycy9lMm9Eb2MueG1srVPBbtsw&#10;DL0P2D8Iui92AqTpjDg9JOgu3Rag7e6KLMfCJFEQlTj5lv3GTrvsc/obo+Qk7bpLD/NBEEXyke+R&#10;nt8crGF7FVCDq/l4VHKmnIRGu23NHx9uP1xzhlG4RhhwquZHhfxm8f7dvPeVmkAHplGBEYjDqvc1&#10;72L0VVGg7JQVOAKvHDlbCFZEMsO2aILoCd2aYlKWV0UPofEBpEKk19Xg5CfE8BZAaFst1QrkzioX&#10;B9SgjIhECTvtkS9yt22rZPzatqgiMzUnpjGfVITum3QWi7motkH4TstTC+ItLbziZIV2VPQCtRJR&#10;sF3Q/0BZLQMgtHEkwRYDkawIsRiXr7S574RXmQtJjf4iOv4/WPllvw5MNzWfcOaEpYE//fj59Os3&#10;m8ySOL3HimKWbh0SPXlw9/4O5HdkDpadcFuVm3w4esocp4zir5RkoKcSm/4zNBQjdhGyUoc2WNYa&#10;7b+lxAROarBDHs3xMhp1iEzS43R6fTWZzTiTZ18hqgSREn3A+EmBZelSc6NdUk1UYn+HMbX0HJKe&#10;HdxqY/LkjWM9lf9YTsucgWB0k7wpDsN2szSB7UVanvxlguR5GRZg55qhinEpT+W9O5U+CzBIuYHm&#10;uA5nlWimubnT/qWleWlnLZ//uc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9lmVztUAAAAJAQAA&#10;DwAAAAAAAAABACAAAAAiAAAAZHJzL2Rvd25yZXYueG1sUEsBAhQAFAAAAAgAh07iQNssU3rjAQAA&#10;uwMAAA4AAAAAAAAAAQAgAAAAJAEAAGRycy9lMm9Eb2MueG1sUEsFBgAAAAAGAAYAWQEAAHkFAAAA&#10;AA==&#10;">
                <v:fill on="f" focussize="0,0"/>
                <v:stroke weight="1.5pt" color="#000000 [3213]" joinstyle="round"/>
                <v:imagedata o:title=""/>
                <o:lock v:ext="edit" aspectratio="f"/>
              </v:line>
            </w:pict>
          </mc:Fallback>
        </mc:AlternateContent>
      </w:r>
    </w:p>
    <w:p w14:paraId="33F9309E">
      <w:pPr>
        <w:pStyle w:val="3"/>
        <w:spacing w:line="520" w:lineRule="exact"/>
        <w:jc w:val="center"/>
        <w:rPr>
          <w:rFonts w:hint="eastAsia" w:hAnsi="宋体"/>
          <w:b/>
          <w:sz w:val="32"/>
          <w:szCs w:val="32"/>
          <w:lang w:val="en-US"/>
        </w:rPr>
      </w:pPr>
      <w:r>
        <w:rPr>
          <w:rFonts w:hint="eastAsia" w:hAnsi="宋体"/>
          <w:b/>
          <w:sz w:val="32"/>
          <w:szCs w:val="32"/>
        </w:rPr>
        <w:t>关于</w:t>
      </w:r>
      <w:r>
        <w:rPr>
          <w:rFonts w:hint="eastAsia" w:hAnsi="宋体"/>
          <w:b/>
          <w:sz w:val="32"/>
          <w:szCs w:val="32"/>
          <w:lang w:val="en-US" w:eastAsia="zh-CN"/>
        </w:rPr>
        <w:t>杨庙小学改造（杨庙片区布局优化）工程</w:t>
      </w:r>
      <w:r>
        <w:rPr>
          <w:rFonts w:hint="eastAsia" w:hAnsi="宋体"/>
          <w:b/>
          <w:sz w:val="32"/>
          <w:szCs w:val="32"/>
        </w:rPr>
        <w:t>最高投标限价审核咨询成果报告书</w:t>
      </w:r>
    </w:p>
    <w:p w14:paraId="79CADB83">
      <w:pPr>
        <w:spacing w:line="520" w:lineRule="exact"/>
        <w:jc w:val="center"/>
        <w:rPr>
          <w:rFonts w:hint="eastAsia" w:ascii="宋体" w:hAnsi="宋体" w:eastAsia="宋体"/>
          <w:sz w:val="28"/>
          <w:szCs w:val="28"/>
        </w:rPr>
      </w:pPr>
    </w:p>
    <w:p w14:paraId="765420AE">
      <w:pPr>
        <w:spacing w:line="520" w:lineRule="exact"/>
        <w:rPr>
          <w:rFonts w:hint="eastAsia" w:ascii="宋体" w:hAnsi="宋体" w:eastAsia="宋体"/>
          <w:sz w:val="28"/>
          <w:szCs w:val="28"/>
        </w:rPr>
      </w:pPr>
      <w:r>
        <w:rPr>
          <w:rFonts w:hint="eastAsia" w:ascii="宋体" w:hAnsi="宋体" w:eastAsia="宋体"/>
          <w:sz w:val="28"/>
          <w:szCs w:val="28"/>
        </w:rPr>
        <w:t>扬州锦汇置业投资有限公司：</w:t>
      </w:r>
      <w:r>
        <w:rPr>
          <w:rFonts w:hint="eastAsia" w:ascii="宋体" w:hAnsi="宋体" w:eastAsia="宋体"/>
          <w:sz w:val="28"/>
          <w:szCs w:val="28"/>
        </w:rPr>
        <w:tab/>
      </w:r>
    </w:p>
    <w:p w14:paraId="1476A93A">
      <w:pPr>
        <w:spacing w:line="520" w:lineRule="exact"/>
        <w:ind w:firstLine="560" w:firstLineChars="200"/>
        <w:rPr>
          <w:rFonts w:hint="eastAsia" w:ascii="宋体" w:hAnsi="宋体" w:eastAsia="宋体"/>
          <w:sz w:val="28"/>
          <w:szCs w:val="28"/>
        </w:rPr>
      </w:pPr>
      <w:r>
        <w:rPr>
          <w:rFonts w:hint="eastAsia" w:ascii="宋体" w:hAnsi="宋体" w:eastAsia="宋体"/>
          <w:sz w:val="28"/>
          <w:szCs w:val="28"/>
        </w:rPr>
        <w:t>我公司接受贵单位委托，对扬州锦汇置业投资有限公司委托</w:t>
      </w:r>
      <w:r>
        <w:rPr>
          <w:rFonts w:hint="eastAsia" w:ascii="宋体" w:hAnsi="宋体" w:eastAsia="宋体"/>
          <w:sz w:val="28"/>
          <w:szCs w:val="28"/>
          <w:lang w:val="en-US" w:eastAsia="zh-CN"/>
        </w:rPr>
        <w:t>扬州建达工程管理服务</w:t>
      </w:r>
      <w:r>
        <w:rPr>
          <w:rFonts w:hint="eastAsia" w:ascii="宋体" w:hAnsi="宋体" w:eastAsia="宋体"/>
          <w:sz w:val="28"/>
          <w:szCs w:val="28"/>
        </w:rPr>
        <w:t>有限公司编制的</w:t>
      </w:r>
      <w:r>
        <w:rPr>
          <w:rFonts w:hint="eastAsia" w:ascii="宋体" w:hAnsi="宋体" w:eastAsia="宋体"/>
          <w:sz w:val="28"/>
          <w:szCs w:val="28"/>
          <w:lang w:eastAsia="zh-CN"/>
        </w:rPr>
        <w:t>杨庙小学改造（杨庙片区布局优化）工程</w:t>
      </w:r>
      <w:r>
        <w:rPr>
          <w:rFonts w:hint="eastAsia" w:ascii="宋体" w:hAnsi="宋体" w:eastAsia="宋体"/>
          <w:sz w:val="28"/>
          <w:szCs w:val="28"/>
        </w:rPr>
        <w:t>最高投标限价进行了审核。现将审核情况报告如下。</w:t>
      </w:r>
    </w:p>
    <w:p w14:paraId="2746CCD8">
      <w:pPr>
        <w:pStyle w:val="16"/>
        <w:numPr>
          <w:ilvl w:val="0"/>
          <w:numId w:val="1"/>
        </w:numPr>
        <w:spacing w:line="520" w:lineRule="exact"/>
        <w:ind w:left="0" w:leftChars="0" w:firstLine="567" w:firstLineChars="0"/>
        <w:jc w:val="left"/>
        <w:rPr>
          <w:rFonts w:hint="eastAsia" w:ascii="宋体" w:hAnsi="宋体"/>
          <w:b/>
          <w:sz w:val="28"/>
          <w:szCs w:val="28"/>
        </w:rPr>
      </w:pPr>
      <w:r>
        <w:rPr>
          <w:rFonts w:hint="eastAsia" w:ascii="宋体" w:hAnsi="宋体"/>
          <w:b/>
          <w:sz w:val="28"/>
          <w:szCs w:val="28"/>
        </w:rPr>
        <w:t>工程概况</w:t>
      </w:r>
    </w:p>
    <w:p w14:paraId="622D4BD7">
      <w:pPr>
        <w:pStyle w:val="16"/>
        <w:numPr>
          <w:ilvl w:val="3"/>
          <w:numId w:val="1"/>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项目名称：</w:t>
      </w:r>
      <w:r>
        <w:rPr>
          <w:rFonts w:hint="eastAsia" w:ascii="宋体" w:hAnsi="宋体"/>
          <w:bCs/>
          <w:sz w:val="28"/>
          <w:szCs w:val="28"/>
          <w:lang w:eastAsia="zh-CN"/>
        </w:rPr>
        <w:t>杨庙小学改造（杨庙片区布局优化）工程</w:t>
      </w:r>
      <w:r>
        <w:rPr>
          <w:rFonts w:hint="eastAsia" w:ascii="宋体" w:hAnsi="宋体"/>
          <w:bCs/>
          <w:sz w:val="28"/>
          <w:szCs w:val="28"/>
        </w:rPr>
        <w:t>。</w:t>
      </w:r>
    </w:p>
    <w:p w14:paraId="7EC35AFB">
      <w:pPr>
        <w:pStyle w:val="16"/>
        <w:numPr>
          <w:ilvl w:val="3"/>
          <w:numId w:val="1"/>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工程特征：本工程为</w:t>
      </w:r>
      <w:r>
        <w:rPr>
          <w:rFonts w:hint="eastAsia" w:ascii="宋体" w:hAnsi="宋体"/>
          <w:bCs/>
          <w:sz w:val="28"/>
          <w:szCs w:val="28"/>
          <w:lang w:eastAsia="zh-CN"/>
        </w:rPr>
        <w:t>杨庙小学改造（杨庙片区布局优化）工程</w:t>
      </w:r>
      <w:r>
        <w:rPr>
          <w:rFonts w:hint="eastAsia" w:ascii="宋体" w:hAnsi="宋体"/>
          <w:bCs/>
          <w:sz w:val="28"/>
          <w:szCs w:val="28"/>
        </w:rPr>
        <w:t>，建设单位为扬州锦汇置业投资有限公司，建设地点为邗江区杨庙小学。本次招标范围为杨庙小学装饰改造、智能化改造、操场改造、拆除及新建围墙。</w:t>
      </w:r>
    </w:p>
    <w:p w14:paraId="27865442">
      <w:pPr>
        <w:pStyle w:val="16"/>
        <w:numPr>
          <w:ilvl w:val="3"/>
          <w:numId w:val="1"/>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计划工期：详见招标文件。</w:t>
      </w:r>
    </w:p>
    <w:p w14:paraId="675B323A">
      <w:pPr>
        <w:pStyle w:val="16"/>
        <w:numPr>
          <w:ilvl w:val="0"/>
          <w:numId w:val="1"/>
        </w:numPr>
        <w:spacing w:line="520" w:lineRule="exact"/>
        <w:ind w:left="0" w:leftChars="0" w:firstLine="567" w:firstLineChars="0"/>
        <w:jc w:val="left"/>
        <w:rPr>
          <w:rFonts w:hint="eastAsia" w:ascii="宋体" w:hAnsi="宋体"/>
          <w:b/>
          <w:sz w:val="28"/>
          <w:szCs w:val="28"/>
        </w:rPr>
      </w:pPr>
      <w:bookmarkStart w:id="1" w:name="_Hlk104041832"/>
      <w:r>
        <w:rPr>
          <w:rFonts w:hint="eastAsia" w:ascii="宋体" w:hAnsi="宋体"/>
          <w:b/>
          <w:sz w:val="28"/>
          <w:szCs w:val="28"/>
        </w:rPr>
        <w:t>审核依据</w:t>
      </w:r>
    </w:p>
    <w:bookmarkEnd w:id="1"/>
    <w:p w14:paraId="30A2DB80">
      <w:pPr>
        <w:pStyle w:val="16"/>
        <w:numPr>
          <w:ilvl w:val="3"/>
          <w:numId w:val="1"/>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建设单位提供的有关编制要求。</w:t>
      </w:r>
    </w:p>
    <w:p w14:paraId="72CB7DB6">
      <w:pPr>
        <w:pStyle w:val="16"/>
        <w:numPr>
          <w:ilvl w:val="3"/>
          <w:numId w:val="1"/>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根据建设单位要求，本项目使用《建设工程工程量清单计价规范》(GB50500-2013)及其9本工程量计算规范。</w:t>
      </w:r>
    </w:p>
    <w:p w14:paraId="03A2A283">
      <w:pPr>
        <w:pStyle w:val="16"/>
        <w:numPr>
          <w:ilvl w:val="3"/>
          <w:numId w:val="1"/>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2</w:t>
      </w:r>
      <w:r>
        <w:rPr>
          <w:rFonts w:ascii="宋体" w:hAnsi="宋体"/>
          <w:bCs/>
          <w:sz w:val="28"/>
          <w:szCs w:val="28"/>
        </w:rPr>
        <w:t>014</w:t>
      </w:r>
      <w:r>
        <w:rPr>
          <w:rFonts w:hint="eastAsia" w:ascii="宋体" w:hAnsi="宋体"/>
          <w:bCs/>
          <w:sz w:val="28"/>
          <w:szCs w:val="28"/>
        </w:rPr>
        <w:t>版《江苏省建筑与装饰工程计价定额》、《江苏省安装工程计价定额》、《江苏省市政工程计价定额》及其配套补充定额、定额解释，及现行的其他专业定额。</w:t>
      </w:r>
    </w:p>
    <w:p w14:paraId="11412494">
      <w:pPr>
        <w:pStyle w:val="16"/>
        <w:numPr>
          <w:ilvl w:val="3"/>
          <w:numId w:val="1"/>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2</w:t>
      </w:r>
      <w:r>
        <w:rPr>
          <w:rFonts w:ascii="宋体" w:hAnsi="宋体"/>
          <w:bCs/>
          <w:sz w:val="28"/>
          <w:szCs w:val="28"/>
        </w:rPr>
        <w:t>014</w:t>
      </w:r>
      <w:r>
        <w:rPr>
          <w:rFonts w:hint="eastAsia" w:ascii="宋体" w:hAnsi="宋体"/>
          <w:bCs/>
          <w:sz w:val="28"/>
          <w:szCs w:val="28"/>
        </w:rPr>
        <w:t>版《江苏省建设工程费用定额》及其营改增调整后的内容。</w:t>
      </w:r>
    </w:p>
    <w:p w14:paraId="0B2502F5">
      <w:pPr>
        <w:pStyle w:val="16"/>
        <w:numPr>
          <w:ilvl w:val="3"/>
          <w:numId w:val="1"/>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材料价格按《扬州工程造价管理》（202</w:t>
      </w:r>
      <w:r>
        <w:rPr>
          <w:rFonts w:hint="eastAsia" w:ascii="宋体" w:hAnsi="宋体"/>
          <w:bCs/>
          <w:sz w:val="28"/>
          <w:szCs w:val="28"/>
          <w:lang w:val="en-US" w:eastAsia="zh-CN"/>
        </w:rPr>
        <w:t>6</w:t>
      </w:r>
      <w:r>
        <w:rPr>
          <w:rFonts w:hint="eastAsia" w:ascii="宋体" w:hAnsi="宋体"/>
          <w:bCs/>
          <w:sz w:val="28"/>
          <w:szCs w:val="28"/>
        </w:rPr>
        <w:t>年</w:t>
      </w:r>
      <w:r>
        <w:rPr>
          <w:rFonts w:hint="eastAsia" w:ascii="宋体" w:hAnsi="宋体"/>
          <w:bCs/>
          <w:sz w:val="28"/>
          <w:szCs w:val="28"/>
          <w:lang w:val="en-US" w:eastAsia="zh-CN"/>
        </w:rPr>
        <w:t>5</w:t>
      </w:r>
      <w:r>
        <w:rPr>
          <w:rFonts w:hint="eastAsia" w:ascii="宋体" w:hAnsi="宋体"/>
          <w:bCs/>
          <w:sz w:val="28"/>
          <w:szCs w:val="28"/>
        </w:rPr>
        <w:t>月）中建材信息价计算，没有建材信息价的按市场询价计入最高投标限价。</w:t>
      </w:r>
    </w:p>
    <w:p w14:paraId="25EF2588">
      <w:pPr>
        <w:pStyle w:val="16"/>
        <w:numPr>
          <w:ilvl w:val="3"/>
          <w:numId w:val="1"/>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人工工资按苏建函价(202</w:t>
      </w:r>
      <w:r>
        <w:rPr>
          <w:rFonts w:hint="eastAsia" w:ascii="宋体" w:hAnsi="宋体"/>
          <w:bCs/>
          <w:sz w:val="28"/>
          <w:szCs w:val="28"/>
          <w:lang w:val="en-US" w:eastAsia="zh-CN"/>
        </w:rPr>
        <w:t>6</w:t>
      </w:r>
      <w:r>
        <w:rPr>
          <w:rFonts w:hint="eastAsia" w:ascii="宋体" w:hAnsi="宋体"/>
          <w:bCs/>
          <w:sz w:val="28"/>
          <w:szCs w:val="28"/>
        </w:rPr>
        <w:t>)</w:t>
      </w:r>
      <w:r>
        <w:rPr>
          <w:rFonts w:hint="eastAsia" w:ascii="宋体" w:hAnsi="宋体"/>
          <w:bCs/>
          <w:sz w:val="28"/>
          <w:szCs w:val="28"/>
          <w:lang w:val="en-US" w:eastAsia="zh-CN"/>
        </w:rPr>
        <w:t>27</w:t>
      </w:r>
      <w:r>
        <w:rPr>
          <w:rFonts w:hint="eastAsia" w:ascii="宋体" w:hAnsi="宋体"/>
          <w:bCs/>
          <w:sz w:val="28"/>
          <w:szCs w:val="28"/>
        </w:rPr>
        <w:t>号文件调整。</w:t>
      </w:r>
    </w:p>
    <w:p w14:paraId="627F928B">
      <w:pPr>
        <w:pStyle w:val="16"/>
        <w:numPr>
          <w:ilvl w:val="3"/>
          <w:numId w:val="1"/>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扬州市现行的不可竞争费用内容及标准。</w:t>
      </w:r>
    </w:p>
    <w:p w14:paraId="5325CAEB">
      <w:pPr>
        <w:pStyle w:val="16"/>
        <w:numPr>
          <w:ilvl w:val="3"/>
          <w:numId w:val="1"/>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扬州市安全生产、文明施工的相关规定。</w:t>
      </w:r>
    </w:p>
    <w:p w14:paraId="6BE66CD7">
      <w:pPr>
        <w:pStyle w:val="16"/>
        <w:numPr>
          <w:ilvl w:val="3"/>
          <w:numId w:val="1"/>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与本工程相关的现行设计、施工规范和标准图集、造价文件等。</w:t>
      </w:r>
    </w:p>
    <w:p w14:paraId="01EA5B49">
      <w:pPr>
        <w:pStyle w:val="16"/>
        <w:numPr>
          <w:ilvl w:val="0"/>
          <w:numId w:val="1"/>
        </w:numPr>
        <w:spacing w:line="520" w:lineRule="exact"/>
        <w:ind w:left="0" w:leftChars="0" w:firstLine="567" w:firstLineChars="0"/>
        <w:jc w:val="left"/>
        <w:rPr>
          <w:rFonts w:hint="eastAsia" w:ascii="宋体" w:hAnsi="宋体"/>
          <w:bCs/>
          <w:sz w:val="28"/>
          <w:szCs w:val="28"/>
        </w:rPr>
      </w:pPr>
      <w:r>
        <w:rPr>
          <w:rFonts w:hint="eastAsia" w:ascii="宋体" w:hAnsi="宋体"/>
          <w:b/>
          <w:sz w:val="28"/>
          <w:szCs w:val="28"/>
        </w:rPr>
        <w:t>审核责任</w:t>
      </w:r>
    </w:p>
    <w:p w14:paraId="16BCB7A5">
      <w:pPr>
        <w:pStyle w:val="16"/>
        <w:numPr>
          <w:ilvl w:val="1"/>
          <w:numId w:val="1"/>
        </w:numPr>
        <w:spacing w:line="520" w:lineRule="exact"/>
        <w:ind w:left="0" w:leftChars="0" w:firstLine="567" w:firstLineChars="0"/>
        <w:rPr>
          <w:rFonts w:hint="eastAsia" w:ascii="宋体" w:hAnsi="宋体"/>
          <w:sz w:val="28"/>
          <w:szCs w:val="28"/>
        </w:rPr>
      </w:pPr>
      <w:r>
        <w:rPr>
          <w:rFonts w:hint="eastAsia" w:ascii="宋体" w:hAnsi="宋体"/>
          <w:sz w:val="28"/>
          <w:szCs w:val="28"/>
        </w:rPr>
        <w:t>委托方：对提供资料的真实性、合法性、完整性负责。</w:t>
      </w:r>
    </w:p>
    <w:p w14:paraId="60DDEA4B">
      <w:pPr>
        <w:pStyle w:val="16"/>
        <w:numPr>
          <w:ilvl w:val="1"/>
          <w:numId w:val="1"/>
        </w:numPr>
        <w:spacing w:line="520" w:lineRule="exact"/>
        <w:ind w:left="0" w:leftChars="0" w:firstLine="567" w:firstLineChars="0"/>
        <w:rPr>
          <w:rFonts w:hint="eastAsia" w:ascii="宋体" w:hAnsi="宋体"/>
          <w:sz w:val="28"/>
          <w:szCs w:val="28"/>
        </w:rPr>
      </w:pPr>
      <w:r>
        <w:rPr>
          <w:rFonts w:hint="eastAsia" w:ascii="宋体" w:hAnsi="宋体"/>
          <w:sz w:val="28"/>
          <w:szCs w:val="28"/>
        </w:rPr>
        <w:t>受托方：对本报告的真实性、合法性负责。</w:t>
      </w:r>
    </w:p>
    <w:p w14:paraId="3C721650">
      <w:pPr>
        <w:pStyle w:val="16"/>
        <w:numPr>
          <w:ilvl w:val="0"/>
          <w:numId w:val="1"/>
        </w:numPr>
        <w:spacing w:line="520" w:lineRule="exact"/>
        <w:ind w:left="0" w:leftChars="0" w:firstLine="567" w:firstLineChars="0"/>
        <w:jc w:val="left"/>
        <w:rPr>
          <w:rFonts w:hint="eastAsia" w:ascii="宋体" w:hAnsi="宋体"/>
          <w:b/>
          <w:sz w:val="28"/>
          <w:szCs w:val="28"/>
        </w:rPr>
      </w:pPr>
      <w:bookmarkStart w:id="2" w:name="_Hlk105684419"/>
      <w:bookmarkStart w:id="3" w:name="_Hlk104039528"/>
      <w:r>
        <w:rPr>
          <w:rFonts w:hint="eastAsia" w:ascii="宋体" w:hAnsi="宋体"/>
          <w:b/>
          <w:sz w:val="28"/>
          <w:szCs w:val="28"/>
        </w:rPr>
        <w:t>审核说明</w:t>
      </w:r>
    </w:p>
    <w:p w14:paraId="7FCED772">
      <w:pPr>
        <w:pStyle w:val="16"/>
        <w:numPr>
          <w:ilvl w:val="1"/>
          <w:numId w:val="1"/>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土建工程审核说明</w:t>
      </w:r>
    </w:p>
    <w:p w14:paraId="3D2C2F31">
      <w:pPr>
        <w:pStyle w:val="16"/>
        <w:numPr>
          <w:ilvl w:val="3"/>
          <w:numId w:val="1"/>
        </w:numPr>
        <w:spacing w:line="520" w:lineRule="exact"/>
        <w:ind w:left="0" w:leftChars="0" w:firstLine="567" w:firstLineChars="0"/>
        <w:jc w:val="left"/>
        <w:rPr>
          <w:rFonts w:hint="eastAsia" w:ascii="宋体" w:hAnsi="宋体"/>
          <w:bCs/>
          <w:sz w:val="28"/>
          <w:szCs w:val="28"/>
          <w:highlight w:val="none"/>
        </w:rPr>
      </w:pPr>
      <w:r>
        <w:rPr>
          <w:rFonts w:hint="eastAsia" w:ascii="宋体" w:hAnsi="宋体"/>
          <w:bCs/>
          <w:sz w:val="28"/>
          <w:szCs w:val="28"/>
          <w:highlight w:val="none"/>
          <w:lang w:val="en-US" w:eastAsia="zh-CN"/>
        </w:rPr>
        <w:t>调整原土建部分工程类别，调整为按修缮建筑工程类别计取</w:t>
      </w:r>
      <w:r>
        <w:rPr>
          <w:rFonts w:hint="eastAsia" w:ascii="宋体" w:hAnsi="宋体"/>
          <w:bCs/>
          <w:sz w:val="28"/>
          <w:szCs w:val="28"/>
          <w:highlight w:val="none"/>
        </w:rPr>
        <w:t>。</w:t>
      </w:r>
    </w:p>
    <w:p w14:paraId="6FCABEAC">
      <w:pPr>
        <w:pStyle w:val="16"/>
        <w:numPr>
          <w:ilvl w:val="3"/>
          <w:numId w:val="1"/>
        </w:numPr>
        <w:spacing w:line="520" w:lineRule="exact"/>
        <w:ind w:left="0" w:leftChars="0" w:firstLine="567" w:firstLineChars="0"/>
        <w:jc w:val="left"/>
        <w:rPr>
          <w:rFonts w:hint="eastAsia" w:ascii="宋体" w:hAnsi="宋体"/>
          <w:bCs/>
          <w:sz w:val="28"/>
          <w:szCs w:val="28"/>
          <w:highlight w:val="none"/>
        </w:rPr>
      </w:pPr>
      <w:r>
        <w:rPr>
          <w:rFonts w:hint="eastAsia" w:ascii="宋体" w:hAnsi="宋体"/>
          <w:bCs/>
          <w:sz w:val="28"/>
          <w:szCs w:val="28"/>
          <w:highlight w:val="none"/>
          <w:lang w:val="en-US" w:eastAsia="zh-CN"/>
        </w:rPr>
        <w:t>材料价格调整为按</w:t>
      </w:r>
      <w:r>
        <w:rPr>
          <w:rFonts w:hint="eastAsia" w:ascii="宋体" w:hAnsi="宋体"/>
          <w:bCs/>
          <w:sz w:val="28"/>
          <w:szCs w:val="28"/>
        </w:rPr>
        <w:t>《扬州工程造价管理》（202</w:t>
      </w:r>
      <w:r>
        <w:rPr>
          <w:rFonts w:hint="eastAsia" w:ascii="宋体" w:hAnsi="宋体"/>
          <w:bCs/>
          <w:sz w:val="28"/>
          <w:szCs w:val="28"/>
          <w:lang w:val="en-US" w:eastAsia="zh-CN"/>
        </w:rPr>
        <w:t>6</w:t>
      </w:r>
      <w:r>
        <w:rPr>
          <w:rFonts w:hint="eastAsia" w:ascii="宋体" w:hAnsi="宋体"/>
          <w:bCs/>
          <w:sz w:val="28"/>
          <w:szCs w:val="28"/>
        </w:rPr>
        <w:t>年</w:t>
      </w:r>
      <w:r>
        <w:rPr>
          <w:rFonts w:hint="eastAsia" w:ascii="宋体" w:hAnsi="宋体"/>
          <w:bCs/>
          <w:sz w:val="28"/>
          <w:szCs w:val="28"/>
          <w:lang w:val="en-US" w:eastAsia="zh-CN"/>
        </w:rPr>
        <w:t>5</w:t>
      </w:r>
      <w:r>
        <w:rPr>
          <w:rFonts w:hint="eastAsia" w:ascii="宋体" w:hAnsi="宋体"/>
          <w:bCs/>
          <w:sz w:val="28"/>
          <w:szCs w:val="28"/>
        </w:rPr>
        <w:t>月）</w:t>
      </w:r>
      <w:r>
        <w:rPr>
          <w:rFonts w:hint="eastAsia" w:ascii="宋体" w:hAnsi="宋体"/>
          <w:bCs/>
          <w:sz w:val="28"/>
          <w:szCs w:val="28"/>
          <w:lang w:val="en-US" w:eastAsia="zh-CN"/>
        </w:rPr>
        <w:t>指导价格</w:t>
      </w:r>
      <w:r>
        <w:rPr>
          <w:rFonts w:hint="eastAsia" w:ascii="宋体" w:hAnsi="宋体"/>
          <w:bCs/>
          <w:sz w:val="28"/>
          <w:szCs w:val="28"/>
          <w:lang w:eastAsia="zh-CN"/>
        </w:rPr>
        <w:t>。</w:t>
      </w:r>
    </w:p>
    <w:p w14:paraId="1885908C">
      <w:pPr>
        <w:pStyle w:val="16"/>
        <w:numPr>
          <w:ilvl w:val="3"/>
          <w:numId w:val="1"/>
        </w:numPr>
        <w:spacing w:line="520" w:lineRule="exact"/>
        <w:ind w:left="0" w:leftChars="0" w:firstLine="567" w:firstLineChars="0"/>
        <w:jc w:val="left"/>
        <w:rPr>
          <w:rFonts w:hint="eastAsia" w:ascii="宋体" w:hAnsi="宋体"/>
          <w:bCs/>
          <w:sz w:val="28"/>
          <w:szCs w:val="28"/>
          <w:highlight w:val="none"/>
        </w:rPr>
      </w:pPr>
      <w:r>
        <w:rPr>
          <w:rFonts w:hint="eastAsia" w:ascii="宋体" w:hAnsi="宋体"/>
          <w:bCs/>
          <w:sz w:val="28"/>
          <w:szCs w:val="28"/>
          <w:highlight w:val="none"/>
          <w:lang w:val="en-US" w:eastAsia="zh-CN"/>
        </w:rPr>
        <w:t>调整砌体墙拆除套用定额子目，应该套用1-58定额子目。</w:t>
      </w:r>
    </w:p>
    <w:p w14:paraId="57F181ED">
      <w:pPr>
        <w:pStyle w:val="16"/>
        <w:numPr>
          <w:ilvl w:val="3"/>
          <w:numId w:val="1"/>
        </w:numPr>
        <w:spacing w:line="520" w:lineRule="exact"/>
        <w:ind w:left="0" w:leftChars="0" w:firstLine="567" w:firstLineChars="0"/>
        <w:jc w:val="left"/>
        <w:rPr>
          <w:rFonts w:hint="eastAsia" w:ascii="宋体" w:hAnsi="宋体"/>
          <w:bCs/>
          <w:sz w:val="28"/>
          <w:szCs w:val="28"/>
          <w:highlight w:val="none"/>
        </w:rPr>
      </w:pPr>
      <w:r>
        <w:rPr>
          <w:rFonts w:hint="eastAsia" w:ascii="宋体" w:hAnsi="宋体"/>
          <w:bCs/>
          <w:sz w:val="28"/>
          <w:szCs w:val="28"/>
          <w:highlight w:val="none"/>
          <w:lang w:val="en-US" w:eastAsia="zh-CN"/>
        </w:rPr>
        <w:t>食堂隔墙移动，新增块料地砖做法清单。</w:t>
      </w:r>
    </w:p>
    <w:p w14:paraId="22BD1B58">
      <w:pPr>
        <w:pStyle w:val="16"/>
        <w:numPr>
          <w:ilvl w:val="3"/>
          <w:numId w:val="1"/>
        </w:numPr>
        <w:spacing w:line="520" w:lineRule="exact"/>
        <w:ind w:left="0" w:leftChars="0" w:firstLine="567" w:firstLineChars="0"/>
        <w:jc w:val="left"/>
        <w:rPr>
          <w:rFonts w:hint="eastAsia" w:ascii="宋体" w:hAnsi="宋体"/>
          <w:bCs/>
          <w:sz w:val="28"/>
          <w:szCs w:val="28"/>
          <w:highlight w:val="none"/>
        </w:rPr>
      </w:pPr>
      <w:r>
        <w:rPr>
          <w:rFonts w:hint="eastAsia" w:ascii="宋体" w:hAnsi="宋体"/>
          <w:bCs/>
          <w:sz w:val="28"/>
          <w:szCs w:val="28"/>
          <w:highlight w:val="none"/>
          <w:lang w:val="en-US" w:eastAsia="zh-CN"/>
        </w:rPr>
        <w:t>食堂墙面抹灰墙面清单与块料墙面清单中存在重复内容，删除墙面抹灰清单中重复内容。</w:t>
      </w:r>
    </w:p>
    <w:p w14:paraId="01C60AE4">
      <w:pPr>
        <w:pStyle w:val="16"/>
        <w:numPr>
          <w:ilvl w:val="3"/>
          <w:numId w:val="1"/>
        </w:numPr>
        <w:spacing w:line="520" w:lineRule="exact"/>
        <w:ind w:left="0" w:leftChars="0" w:firstLine="567" w:firstLineChars="0"/>
        <w:jc w:val="left"/>
        <w:rPr>
          <w:rFonts w:hint="eastAsia" w:ascii="宋体" w:hAnsi="宋体"/>
          <w:bCs/>
          <w:sz w:val="28"/>
          <w:szCs w:val="28"/>
          <w:highlight w:val="none"/>
        </w:rPr>
      </w:pPr>
      <w:r>
        <w:rPr>
          <w:rFonts w:hint="eastAsia" w:ascii="宋体" w:hAnsi="宋体"/>
          <w:bCs/>
          <w:sz w:val="28"/>
          <w:szCs w:val="28"/>
          <w:highlight w:val="none"/>
          <w:lang w:val="en-US" w:eastAsia="zh-CN"/>
        </w:rPr>
        <w:t>根据设计回复，新增厨房隔墙上不锈钢隔断清单。</w:t>
      </w:r>
    </w:p>
    <w:p w14:paraId="266161C8">
      <w:pPr>
        <w:pStyle w:val="16"/>
        <w:numPr>
          <w:ilvl w:val="3"/>
          <w:numId w:val="1"/>
        </w:numPr>
        <w:spacing w:line="520" w:lineRule="exact"/>
        <w:ind w:left="0" w:leftChars="0" w:firstLine="567" w:firstLineChars="0"/>
        <w:jc w:val="left"/>
        <w:rPr>
          <w:rFonts w:hint="eastAsia" w:ascii="宋体" w:hAnsi="宋体"/>
          <w:bCs/>
          <w:sz w:val="28"/>
          <w:szCs w:val="28"/>
          <w:highlight w:val="none"/>
        </w:rPr>
      </w:pPr>
      <w:r>
        <w:rPr>
          <w:rFonts w:hint="eastAsia" w:ascii="宋体" w:hAnsi="宋体"/>
          <w:bCs/>
          <w:sz w:val="28"/>
          <w:szCs w:val="28"/>
          <w:highlight w:val="none"/>
          <w:lang w:val="en-US" w:eastAsia="zh-CN"/>
        </w:rPr>
        <w:t>根据设计回复，新增乒乓球场地区域面层需拆除及基层做法清单。</w:t>
      </w:r>
    </w:p>
    <w:p w14:paraId="338106A8">
      <w:pPr>
        <w:pStyle w:val="16"/>
        <w:numPr>
          <w:ilvl w:val="3"/>
          <w:numId w:val="1"/>
        </w:numPr>
        <w:spacing w:line="520" w:lineRule="exact"/>
        <w:ind w:left="0" w:leftChars="0" w:firstLine="567" w:firstLineChars="0"/>
        <w:jc w:val="left"/>
        <w:rPr>
          <w:rFonts w:hint="eastAsia" w:ascii="宋体" w:hAnsi="宋体"/>
          <w:bCs/>
          <w:sz w:val="28"/>
          <w:szCs w:val="28"/>
          <w:highlight w:val="none"/>
        </w:rPr>
      </w:pPr>
      <w:r>
        <w:rPr>
          <w:rFonts w:hint="eastAsia" w:ascii="宋体" w:hAnsi="宋体"/>
          <w:bCs/>
          <w:sz w:val="28"/>
          <w:szCs w:val="28"/>
          <w:highlight w:val="none"/>
          <w:lang w:val="en-US" w:eastAsia="zh-CN"/>
        </w:rPr>
        <w:t>根据设计回复，小学改造操场围墙取消原来西侧部位，仅拆除改造南侧操场围墙，调整工程量。</w:t>
      </w:r>
    </w:p>
    <w:p w14:paraId="2D770379">
      <w:pPr>
        <w:pStyle w:val="16"/>
        <w:numPr>
          <w:ilvl w:val="3"/>
          <w:numId w:val="1"/>
        </w:numPr>
        <w:spacing w:line="520" w:lineRule="exact"/>
        <w:ind w:left="0" w:leftChars="0" w:firstLine="567" w:firstLineChars="0"/>
        <w:jc w:val="left"/>
        <w:rPr>
          <w:rFonts w:hint="eastAsia" w:ascii="宋体" w:hAnsi="宋体"/>
          <w:bCs/>
          <w:sz w:val="28"/>
          <w:szCs w:val="28"/>
          <w:highlight w:val="none"/>
        </w:rPr>
      </w:pPr>
      <w:r>
        <w:rPr>
          <w:rFonts w:hint="eastAsia" w:ascii="宋体" w:hAnsi="宋体"/>
          <w:bCs/>
          <w:sz w:val="28"/>
          <w:szCs w:val="28"/>
          <w:highlight w:val="none"/>
          <w:lang w:val="en-US" w:eastAsia="zh-CN"/>
        </w:rPr>
        <w:t>调整钢结构油漆套用定额，17-157定额子目中已包含底漆、中间漆，删除重复计取的底漆、中间漆的定额子目。</w:t>
      </w:r>
    </w:p>
    <w:p w14:paraId="4F1B5A4A">
      <w:pPr>
        <w:pStyle w:val="16"/>
        <w:numPr>
          <w:ilvl w:val="3"/>
          <w:numId w:val="1"/>
        </w:numPr>
        <w:spacing w:line="520" w:lineRule="exact"/>
        <w:ind w:left="0" w:leftChars="0" w:firstLine="567" w:firstLineChars="0"/>
        <w:jc w:val="left"/>
        <w:rPr>
          <w:rFonts w:hint="eastAsia" w:ascii="宋体" w:hAnsi="宋体"/>
          <w:bCs/>
          <w:sz w:val="28"/>
          <w:szCs w:val="28"/>
          <w:highlight w:val="none"/>
        </w:rPr>
      </w:pPr>
      <w:r>
        <w:rPr>
          <w:rFonts w:hint="eastAsia" w:ascii="宋体" w:hAnsi="宋体"/>
          <w:bCs/>
          <w:sz w:val="28"/>
          <w:szCs w:val="28"/>
          <w:highlight w:val="none"/>
          <w:lang w:val="en-US" w:eastAsia="zh-CN"/>
        </w:rPr>
        <w:t>调整</w:t>
      </w:r>
      <w:r>
        <w:rPr>
          <w:rFonts w:hint="eastAsia" w:ascii="宋体" w:hAnsi="宋体"/>
          <w:bCs/>
          <w:sz w:val="28"/>
          <w:szCs w:val="28"/>
          <w:highlight w:val="none"/>
        </w:rPr>
        <w:t>13mm塑胶跑道</w:t>
      </w:r>
      <w:r>
        <w:rPr>
          <w:rFonts w:hint="eastAsia" w:ascii="宋体" w:hAnsi="宋体"/>
          <w:bCs/>
          <w:sz w:val="28"/>
          <w:szCs w:val="28"/>
          <w:highlight w:val="none"/>
          <w:lang w:val="en-US" w:eastAsia="zh-CN"/>
        </w:rPr>
        <w:t>价格。</w:t>
      </w:r>
    </w:p>
    <w:p w14:paraId="4053B404">
      <w:pPr>
        <w:pStyle w:val="16"/>
        <w:numPr>
          <w:ilvl w:val="3"/>
          <w:numId w:val="1"/>
        </w:numPr>
        <w:spacing w:line="520" w:lineRule="exact"/>
        <w:ind w:left="0" w:leftChars="0" w:firstLine="567" w:firstLineChars="0"/>
        <w:jc w:val="left"/>
        <w:rPr>
          <w:rFonts w:hint="eastAsia" w:ascii="宋体" w:hAnsi="宋体"/>
          <w:bCs/>
          <w:sz w:val="28"/>
          <w:szCs w:val="28"/>
          <w:highlight w:val="none"/>
        </w:rPr>
      </w:pPr>
      <w:r>
        <w:rPr>
          <w:rFonts w:hint="eastAsia" w:ascii="宋体" w:hAnsi="宋体"/>
          <w:bCs/>
          <w:sz w:val="28"/>
          <w:szCs w:val="28"/>
          <w:highlight w:val="none"/>
          <w:lang w:val="en-US" w:eastAsia="zh-CN"/>
        </w:rPr>
        <w:t>补充原清单中模板相关描述，并转移模板到单价措施。</w:t>
      </w:r>
    </w:p>
    <w:p w14:paraId="27B12187">
      <w:pPr>
        <w:pStyle w:val="16"/>
        <w:numPr>
          <w:ilvl w:val="3"/>
          <w:numId w:val="1"/>
        </w:numPr>
        <w:spacing w:line="520" w:lineRule="exact"/>
        <w:ind w:left="0" w:leftChars="0" w:firstLine="567" w:firstLineChars="0"/>
        <w:jc w:val="left"/>
        <w:rPr>
          <w:rFonts w:hint="eastAsia" w:ascii="宋体" w:hAnsi="宋体"/>
          <w:bCs/>
          <w:sz w:val="28"/>
          <w:szCs w:val="28"/>
          <w:highlight w:val="none"/>
        </w:rPr>
      </w:pPr>
      <w:r>
        <w:rPr>
          <w:rFonts w:hint="eastAsia" w:ascii="宋体" w:hAnsi="宋体"/>
          <w:bCs/>
          <w:sz w:val="28"/>
          <w:szCs w:val="28"/>
          <w:highlight w:val="none"/>
          <w:lang w:val="en-US" w:eastAsia="zh-CN"/>
        </w:rPr>
        <w:t>调整垃圾外运清单，垃圾外运改为按项包干。</w:t>
      </w:r>
    </w:p>
    <w:p w14:paraId="3A7C3CB2">
      <w:pPr>
        <w:pStyle w:val="16"/>
        <w:numPr>
          <w:ilvl w:val="1"/>
          <w:numId w:val="1"/>
        </w:numPr>
        <w:spacing w:line="520" w:lineRule="exact"/>
        <w:ind w:left="0" w:leftChars="0" w:firstLine="567" w:firstLineChars="0"/>
        <w:jc w:val="left"/>
        <w:rPr>
          <w:rFonts w:hint="eastAsia" w:ascii="宋体" w:hAnsi="宋体"/>
          <w:bCs/>
          <w:color w:val="auto"/>
          <w:sz w:val="28"/>
          <w:szCs w:val="28"/>
        </w:rPr>
      </w:pPr>
      <w:r>
        <w:rPr>
          <w:rFonts w:hint="eastAsia" w:ascii="宋体" w:hAnsi="宋体"/>
          <w:bCs/>
          <w:color w:val="auto"/>
          <w:sz w:val="28"/>
          <w:szCs w:val="28"/>
        </w:rPr>
        <w:t>安装工程审核说明</w:t>
      </w:r>
    </w:p>
    <w:p w14:paraId="006FD6B5">
      <w:pPr>
        <w:pStyle w:val="16"/>
        <w:numPr>
          <w:ilvl w:val="3"/>
          <w:numId w:val="1"/>
        </w:numPr>
        <w:spacing w:line="520" w:lineRule="exact"/>
        <w:ind w:left="0" w:leftChars="0" w:firstLine="567" w:firstLineChars="0"/>
        <w:jc w:val="left"/>
        <w:rPr>
          <w:rFonts w:hint="eastAsia" w:ascii="宋体" w:hAnsi="宋体"/>
          <w:bCs/>
          <w:color w:val="auto"/>
          <w:sz w:val="28"/>
          <w:szCs w:val="28"/>
          <w:highlight w:val="none"/>
        </w:rPr>
      </w:pPr>
      <w:r>
        <w:rPr>
          <w:rFonts w:hint="eastAsia" w:ascii="宋体" w:hAnsi="宋体"/>
          <w:bCs/>
          <w:color w:val="auto"/>
          <w:sz w:val="28"/>
          <w:szCs w:val="28"/>
          <w:highlight w:val="none"/>
          <w:lang w:val="en-US" w:eastAsia="zh-CN"/>
        </w:rPr>
        <w:t>LED显示屏定额套取有误，调整定额</w:t>
      </w:r>
      <w:r>
        <w:rPr>
          <w:rFonts w:hint="eastAsia" w:ascii="宋体" w:hAnsi="宋体"/>
          <w:bCs/>
          <w:color w:val="auto"/>
          <w:sz w:val="28"/>
          <w:szCs w:val="28"/>
          <w:highlight w:val="none"/>
        </w:rPr>
        <w:t>。</w:t>
      </w:r>
    </w:p>
    <w:p w14:paraId="1C0E0965">
      <w:pPr>
        <w:pStyle w:val="16"/>
        <w:numPr>
          <w:ilvl w:val="3"/>
          <w:numId w:val="1"/>
        </w:numPr>
        <w:spacing w:line="520" w:lineRule="exact"/>
        <w:ind w:left="0" w:leftChars="0" w:firstLine="567" w:firstLineChars="0"/>
        <w:jc w:val="left"/>
        <w:rPr>
          <w:rFonts w:hint="eastAsia" w:ascii="宋体" w:hAnsi="宋体"/>
          <w:bCs/>
          <w:color w:val="auto"/>
          <w:sz w:val="28"/>
          <w:szCs w:val="28"/>
          <w:highlight w:val="none"/>
        </w:rPr>
      </w:pPr>
      <w:r>
        <w:rPr>
          <w:rFonts w:hint="eastAsia" w:ascii="宋体" w:hAnsi="宋体"/>
          <w:bCs/>
          <w:color w:val="auto"/>
          <w:sz w:val="28"/>
          <w:szCs w:val="28"/>
          <w:highlight w:val="none"/>
          <w:lang w:val="en-US" w:eastAsia="zh-CN"/>
        </w:rPr>
        <w:t>护眼灯定额套取有误，调整定额</w:t>
      </w:r>
      <w:r>
        <w:rPr>
          <w:rFonts w:hint="eastAsia" w:ascii="宋体" w:hAnsi="宋体"/>
          <w:bCs/>
          <w:color w:val="auto"/>
          <w:sz w:val="28"/>
          <w:szCs w:val="28"/>
          <w:lang w:eastAsia="zh-CN"/>
        </w:rPr>
        <w:t>。</w:t>
      </w:r>
    </w:p>
    <w:p w14:paraId="53B71442">
      <w:pPr>
        <w:pStyle w:val="16"/>
        <w:numPr>
          <w:ilvl w:val="3"/>
          <w:numId w:val="1"/>
        </w:numPr>
        <w:spacing w:line="520" w:lineRule="exact"/>
        <w:ind w:left="0" w:leftChars="0" w:firstLine="567" w:firstLineChars="0"/>
        <w:jc w:val="left"/>
        <w:rPr>
          <w:rFonts w:hint="eastAsia" w:ascii="宋体" w:hAnsi="宋体"/>
          <w:bCs/>
          <w:color w:val="auto"/>
          <w:sz w:val="28"/>
          <w:szCs w:val="28"/>
          <w:highlight w:val="none"/>
        </w:rPr>
      </w:pPr>
      <w:r>
        <w:rPr>
          <w:rFonts w:hint="eastAsia" w:ascii="宋体" w:hAnsi="宋体"/>
          <w:bCs/>
          <w:color w:val="auto"/>
          <w:sz w:val="28"/>
          <w:szCs w:val="28"/>
          <w:highlight w:val="none"/>
        </w:rPr>
        <w:t>根据设计回复，洗涤池给水管</w:t>
      </w:r>
      <w:r>
        <w:rPr>
          <w:rFonts w:hint="eastAsia" w:ascii="宋体" w:hAnsi="宋体"/>
          <w:bCs/>
          <w:color w:val="auto"/>
          <w:sz w:val="28"/>
          <w:szCs w:val="28"/>
          <w:highlight w:val="none"/>
          <w:lang w:val="en-US" w:eastAsia="zh-CN"/>
        </w:rPr>
        <w:t>采</w:t>
      </w:r>
      <w:r>
        <w:rPr>
          <w:rFonts w:hint="eastAsia" w:ascii="宋体" w:hAnsi="宋体"/>
          <w:bCs/>
          <w:color w:val="auto"/>
          <w:sz w:val="28"/>
          <w:szCs w:val="28"/>
          <w:highlight w:val="none"/>
        </w:rPr>
        <w:t>用PPR管</w:t>
      </w:r>
    </w:p>
    <w:p w14:paraId="74F22067">
      <w:pPr>
        <w:pStyle w:val="16"/>
        <w:numPr>
          <w:ilvl w:val="3"/>
          <w:numId w:val="1"/>
        </w:numPr>
        <w:spacing w:line="520" w:lineRule="exact"/>
        <w:ind w:left="0" w:leftChars="0" w:firstLine="567" w:firstLineChars="0"/>
        <w:jc w:val="left"/>
        <w:rPr>
          <w:rFonts w:hint="eastAsia" w:ascii="宋体" w:hAnsi="宋体"/>
          <w:bCs/>
          <w:color w:val="auto"/>
          <w:sz w:val="28"/>
          <w:szCs w:val="28"/>
          <w:highlight w:val="none"/>
        </w:rPr>
      </w:pPr>
      <w:r>
        <w:rPr>
          <w:rFonts w:hint="eastAsia" w:ascii="宋体" w:hAnsi="宋体"/>
          <w:bCs/>
          <w:color w:val="auto"/>
          <w:sz w:val="28"/>
          <w:szCs w:val="28"/>
          <w:highlight w:val="none"/>
        </w:rPr>
        <w:t>根据设计回复，球场投光灯改造不在本次工程范围内</w:t>
      </w:r>
      <w:r>
        <w:rPr>
          <w:rFonts w:hint="eastAsia" w:ascii="宋体" w:hAnsi="宋体"/>
          <w:bCs/>
          <w:color w:val="auto"/>
          <w:sz w:val="28"/>
          <w:szCs w:val="28"/>
          <w:highlight w:val="none"/>
          <w:lang w:eastAsia="zh-CN"/>
        </w:rPr>
        <w:t>，</w:t>
      </w:r>
      <w:r>
        <w:rPr>
          <w:rFonts w:hint="eastAsia" w:ascii="宋体" w:hAnsi="宋体"/>
          <w:bCs/>
          <w:color w:val="auto"/>
          <w:sz w:val="28"/>
          <w:szCs w:val="28"/>
          <w:highlight w:val="none"/>
          <w:lang w:val="en-US" w:eastAsia="zh-CN"/>
        </w:rPr>
        <w:t>删除相关清单项</w:t>
      </w:r>
      <w:r>
        <w:rPr>
          <w:rFonts w:hint="eastAsia" w:ascii="宋体" w:hAnsi="宋体"/>
          <w:bCs/>
          <w:color w:val="auto"/>
          <w:sz w:val="28"/>
          <w:szCs w:val="28"/>
          <w:highlight w:val="none"/>
        </w:rPr>
        <w:t>。</w:t>
      </w:r>
    </w:p>
    <w:p w14:paraId="421FD818">
      <w:pPr>
        <w:pStyle w:val="16"/>
        <w:numPr>
          <w:ilvl w:val="3"/>
          <w:numId w:val="1"/>
        </w:numPr>
        <w:spacing w:line="520" w:lineRule="exact"/>
        <w:ind w:left="0" w:leftChars="0" w:firstLine="567" w:firstLineChars="0"/>
        <w:jc w:val="left"/>
        <w:rPr>
          <w:rFonts w:hint="eastAsia" w:ascii="宋体" w:hAnsi="宋体"/>
          <w:bCs/>
          <w:color w:val="auto"/>
          <w:sz w:val="28"/>
          <w:szCs w:val="28"/>
          <w:highlight w:val="none"/>
        </w:rPr>
      </w:pPr>
      <w:r>
        <w:rPr>
          <w:rFonts w:hint="eastAsia" w:ascii="宋体" w:hAnsi="宋体"/>
          <w:bCs/>
          <w:color w:val="auto"/>
          <w:sz w:val="28"/>
          <w:szCs w:val="28"/>
          <w:highlight w:val="none"/>
          <w:lang w:val="en-US" w:eastAsia="zh-CN"/>
        </w:rPr>
        <w:t>完善清单项目特征描述。</w:t>
      </w:r>
    </w:p>
    <w:p w14:paraId="24BFDE20">
      <w:pPr>
        <w:pStyle w:val="16"/>
        <w:numPr>
          <w:ilvl w:val="3"/>
          <w:numId w:val="1"/>
        </w:numPr>
        <w:spacing w:line="520" w:lineRule="exact"/>
        <w:ind w:left="0" w:leftChars="0" w:firstLine="567" w:firstLineChars="0"/>
        <w:jc w:val="left"/>
        <w:rPr>
          <w:rFonts w:hint="eastAsia" w:ascii="宋体" w:hAnsi="宋体"/>
          <w:bCs/>
          <w:color w:val="auto"/>
          <w:sz w:val="28"/>
          <w:szCs w:val="28"/>
          <w:highlight w:val="none"/>
        </w:rPr>
      </w:pPr>
      <w:r>
        <w:rPr>
          <w:rFonts w:hint="eastAsia" w:ascii="宋体" w:hAnsi="宋体"/>
          <w:bCs/>
          <w:color w:val="auto"/>
          <w:sz w:val="28"/>
          <w:szCs w:val="28"/>
          <w:highlight w:val="none"/>
        </w:rPr>
        <w:t>安装辅材不</w:t>
      </w:r>
      <w:r>
        <w:rPr>
          <w:rFonts w:hint="eastAsia" w:ascii="宋体" w:hAnsi="宋体"/>
          <w:bCs/>
          <w:color w:val="auto"/>
          <w:sz w:val="28"/>
          <w:szCs w:val="28"/>
          <w:highlight w:val="none"/>
          <w:lang w:val="en-US" w:eastAsia="zh-CN"/>
        </w:rPr>
        <w:t>调材差</w:t>
      </w:r>
      <w:r>
        <w:rPr>
          <w:rFonts w:hint="eastAsia" w:ascii="宋体" w:hAnsi="宋体"/>
          <w:bCs/>
          <w:color w:val="auto"/>
          <w:sz w:val="28"/>
          <w:szCs w:val="28"/>
          <w:highlight w:val="none"/>
          <w:lang w:eastAsia="zh-CN"/>
        </w:rPr>
        <w:t>。</w:t>
      </w:r>
    </w:p>
    <w:p w14:paraId="3CC6080E">
      <w:pPr>
        <w:pStyle w:val="16"/>
        <w:numPr>
          <w:ilvl w:val="0"/>
          <w:numId w:val="1"/>
        </w:numPr>
        <w:spacing w:line="520" w:lineRule="exact"/>
        <w:ind w:left="0" w:leftChars="0" w:firstLine="567" w:firstLineChars="0"/>
        <w:jc w:val="left"/>
        <w:rPr>
          <w:rFonts w:hint="eastAsia" w:ascii="宋体" w:hAnsi="宋体"/>
          <w:b/>
          <w:sz w:val="28"/>
          <w:szCs w:val="28"/>
        </w:rPr>
      </w:pPr>
      <w:r>
        <w:rPr>
          <w:rFonts w:hint="eastAsia" w:ascii="宋体" w:hAnsi="宋体"/>
          <w:b/>
          <w:sz w:val="28"/>
          <w:szCs w:val="28"/>
        </w:rPr>
        <w:t>审核后的编制说明</w:t>
      </w:r>
      <w:bookmarkEnd w:id="2"/>
      <w:bookmarkEnd w:id="3"/>
    </w:p>
    <w:p w14:paraId="142FE4BE">
      <w:pPr>
        <w:pStyle w:val="16"/>
        <w:numPr>
          <w:ilvl w:val="1"/>
          <w:numId w:val="2"/>
        </w:numPr>
        <w:spacing w:line="520" w:lineRule="exact"/>
        <w:ind w:left="0" w:leftChars="0" w:firstLine="567" w:firstLineChars="0"/>
        <w:jc w:val="left"/>
        <w:rPr>
          <w:rFonts w:hint="eastAsia" w:ascii="宋体" w:hAnsi="宋体"/>
          <w:bCs/>
          <w:sz w:val="28"/>
          <w:szCs w:val="28"/>
        </w:rPr>
      </w:pPr>
      <w:bookmarkStart w:id="4" w:name="_Hlk105687758"/>
      <w:r>
        <w:rPr>
          <w:rFonts w:hint="eastAsia" w:ascii="宋体" w:hAnsi="宋体"/>
          <w:bCs/>
          <w:sz w:val="28"/>
          <w:szCs w:val="28"/>
        </w:rPr>
        <w:t>一般说明</w:t>
      </w:r>
    </w:p>
    <w:p w14:paraId="0C6716D5">
      <w:pPr>
        <w:pStyle w:val="16"/>
        <w:numPr>
          <w:ilvl w:val="3"/>
          <w:numId w:val="2"/>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施工现场情况：以现场踏勘情况为准。</w:t>
      </w:r>
    </w:p>
    <w:p w14:paraId="69E399A1">
      <w:pPr>
        <w:pStyle w:val="16"/>
        <w:numPr>
          <w:ilvl w:val="3"/>
          <w:numId w:val="2"/>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交通运输情况：以现场踏勘情况为准。</w:t>
      </w:r>
    </w:p>
    <w:p w14:paraId="5B89B4CA">
      <w:pPr>
        <w:pStyle w:val="16"/>
        <w:numPr>
          <w:ilvl w:val="3"/>
          <w:numId w:val="2"/>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环境保护要求：满足省、市及当地政府对环境保护的相关要求和规定。</w:t>
      </w:r>
    </w:p>
    <w:p w14:paraId="4CE99A86">
      <w:pPr>
        <w:pStyle w:val="16"/>
        <w:numPr>
          <w:ilvl w:val="3"/>
          <w:numId w:val="2"/>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本工程投标报价按《建设工程工程量清单计价规范》和相应计算规范的规定及要求，使用表格及格式按《建设工程工程量清单计价规范》要求执行。</w:t>
      </w:r>
    </w:p>
    <w:p w14:paraId="38D9EB29">
      <w:pPr>
        <w:pStyle w:val="16"/>
        <w:numPr>
          <w:ilvl w:val="3"/>
          <w:numId w:val="2"/>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工程量清单中的每一个项目，都需填入综合单价及合价。</w:t>
      </w:r>
    </w:p>
    <w:p w14:paraId="1B1F4DA0">
      <w:pPr>
        <w:pStyle w:val="16"/>
        <w:numPr>
          <w:ilvl w:val="3"/>
          <w:numId w:val="2"/>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本工程量清单中的分部分项工程量及措施项目工程量均是根据本工程施工图、按照“工程量计算规范”或本项目清单总说明中的规定进行计算的，仅作为施工企业投标报价的共同基础，不能作为最终结算与支付价款的依据。</w:t>
      </w:r>
    </w:p>
    <w:p w14:paraId="1AF1C2C7">
      <w:pPr>
        <w:pStyle w:val="16"/>
        <w:numPr>
          <w:ilvl w:val="3"/>
          <w:numId w:val="2"/>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工程量清单及其计价格式中的任何内容不得随意删除或涂改，若有错误，在招标答疑时及时提出，以“补遗”资料为准。</w:t>
      </w:r>
    </w:p>
    <w:p w14:paraId="47CA02FE">
      <w:pPr>
        <w:pStyle w:val="16"/>
        <w:numPr>
          <w:ilvl w:val="3"/>
          <w:numId w:val="2"/>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分部分项工程量清单中对工程项目的项目特征及具体做法制作重点描述，详细情况见施工图设计、技术说明及相关标准图集。组价时应结合投标人现场勘查情况包括完成所有工序工作内容的全部费用。</w:t>
      </w:r>
    </w:p>
    <w:p w14:paraId="2BE194AE">
      <w:pPr>
        <w:pStyle w:val="16"/>
        <w:numPr>
          <w:ilvl w:val="3"/>
          <w:numId w:val="2"/>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清单项目特征中备注“清单量同定额量”的，是指清单工程量按《江苏省建筑与装饰工程计价定额》（2014年）中相应计算规则计算。</w:t>
      </w:r>
    </w:p>
    <w:p w14:paraId="081198DA">
      <w:pPr>
        <w:pStyle w:val="16"/>
        <w:numPr>
          <w:ilvl w:val="3"/>
          <w:numId w:val="2"/>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投标人可根据工程实际与施工组织设计进行增补措施项目，但不得更改本清单中已列措施项目。结算时，除工程变更引起施工方案改变外，承包人不得以招标工程措施项目清单缺项为由要求新增措施项目。</w:t>
      </w:r>
    </w:p>
    <w:p w14:paraId="26219B2B">
      <w:pPr>
        <w:pStyle w:val="16"/>
        <w:numPr>
          <w:ilvl w:val="3"/>
          <w:numId w:val="2"/>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本说明中对设计内容进行的调整、补充和暂考虑的做法等仅为工程量清单和最高投标限价编制时暂定的内容，不构成设计变更。</w:t>
      </w:r>
    </w:p>
    <w:p w14:paraId="76BEB42A">
      <w:pPr>
        <w:pStyle w:val="16"/>
        <w:numPr>
          <w:ilvl w:val="2"/>
          <w:numId w:val="3"/>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lang w:val="en-US" w:eastAsia="zh-CN"/>
        </w:rPr>
        <w:t>编制范围</w:t>
      </w:r>
    </w:p>
    <w:p w14:paraId="58C3018A">
      <w:pPr>
        <w:pStyle w:val="16"/>
        <w:numPr>
          <w:ilvl w:val="3"/>
          <w:numId w:val="3"/>
        </w:numPr>
        <w:spacing w:line="520" w:lineRule="exact"/>
        <w:ind w:left="0" w:leftChars="0" w:firstLine="567" w:firstLineChars="0"/>
        <w:jc w:val="left"/>
        <w:rPr>
          <w:rFonts w:hint="default" w:ascii="宋体" w:hAnsi="宋体"/>
          <w:bCs/>
          <w:sz w:val="28"/>
          <w:szCs w:val="28"/>
          <w:lang w:val="en-US" w:eastAsia="zh-CN"/>
        </w:rPr>
      </w:pPr>
      <w:r>
        <w:rPr>
          <w:rFonts w:hint="eastAsia" w:ascii="宋体" w:hAnsi="宋体"/>
          <w:bCs/>
          <w:sz w:val="28"/>
          <w:szCs w:val="28"/>
          <w:lang w:val="en-US" w:eastAsia="zh-CN"/>
        </w:rPr>
        <w:t>土建修缮：食堂维修改造、教学楼装饰改造、新建室外道路、新建钢结构雨棚、新建钢结构停车棚、操场改造、篮球场改造、围墙拆除及新建。</w:t>
      </w:r>
    </w:p>
    <w:p w14:paraId="03960A7D">
      <w:pPr>
        <w:pStyle w:val="16"/>
        <w:numPr>
          <w:ilvl w:val="3"/>
          <w:numId w:val="3"/>
        </w:numPr>
        <w:spacing w:line="520" w:lineRule="exact"/>
        <w:ind w:left="0" w:leftChars="0" w:firstLine="567" w:firstLineChars="0"/>
        <w:jc w:val="left"/>
        <w:rPr>
          <w:rFonts w:hint="default" w:ascii="宋体" w:hAnsi="宋体"/>
          <w:bCs/>
          <w:sz w:val="28"/>
          <w:szCs w:val="28"/>
          <w:lang w:val="en-US" w:eastAsia="zh-CN"/>
        </w:rPr>
      </w:pPr>
      <w:r>
        <w:rPr>
          <w:rFonts w:hint="default" w:ascii="宋体" w:hAnsi="宋体"/>
          <w:bCs/>
          <w:sz w:val="28"/>
          <w:szCs w:val="28"/>
          <w:lang w:val="en-US" w:eastAsia="zh-CN"/>
        </w:rPr>
        <w:t>安装工程：教室多媒体，物化生功能室、准备室、教师办公室、行政办公室、报告厅、教师会议室等弱电改造，监控、网络、广</w:t>
      </w:r>
      <w:r>
        <w:rPr>
          <w:rFonts w:hint="default" w:ascii="宋体" w:hAnsi="宋体"/>
          <w:bCs/>
          <w:color w:val="auto"/>
          <w:sz w:val="28"/>
          <w:szCs w:val="28"/>
          <w:lang w:val="en-US" w:eastAsia="zh-CN"/>
        </w:rPr>
        <w:t>播改造，标准化考场弱电，电子围栏维修，食堂外增加拖把池</w:t>
      </w:r>
      <w:r>
        <w:rPr>
          <w:rFonts w:hint="eastAsia" w:ascii="宋体" w:hAnsi="宋体"/>
          <w:bCs/>
          <w:color w:val="auto"/>
          <w:sz w:val="28"/>
          <w:szCs w:val="28"/>
          <w:lang w:val="en-US" w:eastAsia="zh-CN"/>
        </w:rPr>
        <w:t>、增加高杆路灯、园路灯、空调。</w:t>
      </w:r>
    </w:p>
    <w:p w14:paraId="6B0FF2E3">
      <w:pPr>
        <w:pStyle w:val="16"/>
        <w:numPr>
          <w:ilvl w:val="3"/>
          <w:numId w:val="3"/>
        </w:numPr>
        <w:spacing w:line="520" w:lineRule="exact"/>
        <w:ind w:left="0" w:leftChars="0" w:firstLine="567" w:firstLineChars="0"/>
        <w:jc w:val="left"/>
        <w:rPr>
          <w:rFonts w:hint="default" w:ascii="宋体" w:hAnsi="宋体"/>
          <w:bCs/>
          <w:sz w:val="28"/>
          <w:szCs w:val="28"/>
          <w:lang w:val="en-US" w:eastAsia="zh-CN"/>
        </w:rPr>
      </w:pPr>
      <w:r>
        <w:rPr>
          <w:rFonts w:hint="eastAsia" w:ascii="宋体" w:hAnsi="宋体" w:eastAsia="宋体" w:cs="宋体"/>
          <w:sz w:val="28"/>
          <w:szCs w:val="28"/>
          <w:lang w:val="en-US" w:eastAsia="zh-CN"/>
        </w:rPr>
        <w:t>各材料选用品牌参照品牌推荐表</w:t>
      </w:r>
      <w:r>
        <w:rPr>
          <w:rFonts w:hint="eastAsia" w:ascii="宋体" w:hAnsi="宋体" w:cs="宋体"/>
          <w:sz w:val="28"/>
          <w:szCs w:val="28"/>
          <w:lang w:val="en-US" w:eastAsia="zh-CN"/>
        </w:rPr>
        <w:t>。</w:t>
      </w:r>
    </w:p>
    <w:p w14:paraId="76BCB1E6">
      <w:pPr>
        <w:pStyle w:val="16"/>
        <w:numPr>
          <w:ilvl w:val="1"/>
          <w:numId w:val="3"/>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分部分项说明</w:t>
      </w:r>
    </w:p>
    <w:p w14:paraId="0C44332E">
      <w:pPr>
        <w:pStyle w:val="16"/>
        <w:numPr>
          <w:ilvl w:val="3"/>
          <w:numId w:val="3"/>
        </w:numPr>
        <w:spacing w:line="520" w:lineRule="exact"/>
        <w:ind w:left="0" w:leftChars="0" w:firstLine="567" w:firstLineChars="0"/>
        <w:jc w:val="left"/>
        <w:rPr>
          <w:rFonts w:hint="eastAsia" w:ascii="宋体" w:hAnsi="宋体"/>
          <w:sz w:val="28"/>
          <w:szCs w:val="28"/>
        </w:rPr>
      </w:pPr>
      <w:r>
        <w:rPr>
          <w:rFonts w:hint="eastAsia" w:ascii="宋体" w:hAnsi="宋体"/>
          <w:sz w:val="28"/>
          <w:szCs w:val="28"/>
        </w:rPr>
        <w:t>钢结构雨棚拆除路面按照20cm厚考虑</w:t>
      </w:r>
      <w:r>
        <w:rPr>
          <w:rFonts w:hint="eastAsia" w:ascii="宋体" w:hAnsi="宋体"/>
          <w:sz w:val="28"/>
          <w:szCs w:val="28"/>
          <w:lang w:eastAsia="zh-CN"/>
        </w:rPr>
        <w:t>。</w:t>
      </w:r>
    </w:p>
    <w:p w14:paraId="0FE85869">
      <w:pPr>
        <w:pStyle w:val="16"/>
        <w:numPr>
          <w:ilvl w:val="3"/>
          <w:numId w:val="3"/>
        </w:numPr>
        <w:spacing w:line="520" w:lineRule="exact"/>
        <w:ind w:left="0" w:leftChars="0" w:firstLine="567" w:firstLineChars="0"/>
        <w:jc w:val="left"/>
        <w:rPr>
          <w:rFonts w:hint="eastAsia" w:ascii="宋体" w:hAnsi="宋体"/>
          <w:sz w:val="28"/>
          <w:szCs w:val="28"/>
        </w:rPr>
      </w:pPr>
      <w:r>
        <w:rPr>
          <w:rFonts w:hint="eastAsia" w:ascii="宋体" w:hAnsi="宋体"/>
          <w:sz w:val="28"/>
          <w:szCs w:val="28"/>
        </w:rPr>
        <w:t>窗帘按照单层布艺窗帘考虑，按照</w:t>
      </w:r>
      <w:r>
        <w:rPr>
          <w:rFonts w:hint="eastAsia" w:ascii="宋体" w:hAnsi="宋体"/>
          <w:sz w:val="28"/>
          <w:szCs w:val="28"/>
          <w:lang w:val="en-US" w:eastAsia="zh-CN"/>
        </w:rPr>
        <w:t>垂直投影面积</w:t>
      </w:r>
      <w:r>
        <w:rPr>
          <w:rFonts w:hint="eastAsia" w:ascii="宋体" w:hAnsi="宋体"/>
          <w:sz w:val="28"/>
          <w:szCs w:val="28"/>
        </w:rPr>
        <w:t>计算，含窗帘轨道，褶皱系数综合考虑在投标报价内</w:t>
      </w:r>
      <w:r>
        <w:rPr>
          <w:rFonts w:hint="eastAsia" w:ascii="宋体" w:hAnsi="宋体"/>
          <w:sz w:val="28"/>
          <w:szCs w:val="28"/>
          <w:lang w:eastAsia="zh-CN"/>
        </w:rPr>
        <w:t>。</w:t>
      </w:r>
    </w:p>
    <w:p w14:paraId="25BB573A">
      <w:pPr>
        <w:pStyle w:val="16"/>
        <w:numPr>
          <w:ilvl w:val="3"/>
          <w:numId w:val="3"/>
        </w:numPr>
        <w:spacing w:line="520" w:lineRule="exact"/>
        <w:ind w:left="0" w:leftChars="0" w:firstLine="567" w:firstLineChars="0"/>
        <w:jc w:val="left"/>
        <w:rPr>
          <w:rFonts w:hint="eastAsia" w:ascii="宋体" w:hAnsi="宋体"/>
          <w:sz w:val="28"/>
          <w:szCs w:val="28"/>
        </w:rPr>
      </w:pPr>
      <w:r>
        <w:rPr>
          <w:rFonts w:hint="eastAsia" w:ascii="宋体" w:hAnsi="宋体"/>
          <w:sz w:val="28"/>
          <w:szCs w:val="28"/>
        </w:rPr>
        <w:t>室内油漆的桌椅移位及复位，墙面装饰的拆除与复位，防护等费用投标人综合考虑，结算不做调整</w:t>
      </w:r>
      <w:r>
        <w:rPr>
          <w:rFonts w:hint="eastAsia" w:ascii="宋体" w:hAnsi="宋体"/>
          <w:sz w:val="28"/>
          <w:szCs w:val="28"/>
          <w:lang w:eastAsia="zh-CN"/>
        </w:rPr>
        <w:t>。</w:t>
      </w:r>
    </w:p>
    <w:p w14:paraId="778EBAD1">
      <w:pPr>
        <w:pStyle w:val="16"/>
        <w:numPr>
          <w:ilvl w:val="3"/>
          <w:numId w:val="3"/>
        </w:numPr>
        <w:spacing w:line="520" w:lineRule="exact"/>
        <w:ind w:left="0" w:leftChars="0" w:firstLine="567" w:firstLineChars="0"/>
        <w:jc w:val="left"/>
        <w:rPr>
          <w:rFonts w:hint="eastAsia" w:ascii="宋体" w:hAnsi="宋体"/>
          <w:sz w:val="28"/>
          <w:szCs w:val="28"/>
        </w:rPr>
      </w:pPr>
      <w:r>
        <w:rPr>
          <w:rFonts w:hint="eastAsia" w:ascii="宋体" w:hAnsi="宋体"/>
          <w:sz w:val="28"/>
          <w:szCs w:val="28"/>
        </w:rPr>
        <w:t>停车棚地面拆除按照15cm垫层+5cm面包砖考虑，停车棚占地内的绿化迁移按实结算</w:t>
      </w:r>
      <w:r>
        <w:rPr>
          <w:rFonts w:hint="eastAsia" w:ascii="宋体" w:hAnsi="宋体"/>
          <w:sz w:val="28"/>
          <w:szCs w:val="28"/>
          <w:lang w:eastAsia="zh-CN"/>
        </w:rPr>
        <w:t>。</w:t>
      </w:r>
    </w:p>
    <w:p w14:paraId="0F5F2507">
      <w:pPr>
        <w:pStyle w:val="16"/>
        <w:numPr>
          <w:ilvl w:val="3"/>
          <w:numId w:val="3"/>
        </w:numPr>
        <w:spacing w:line="520" w:lineRule="exact"/>
        <w:ind w:left="0" w:leftChars="0" w:firstLine="567" w:firstLineChars="0"/>
        <w:jc w:val="left"/>
        <w:rPr>
          <w:rFonts w:hint="eastAsia" w:ascii="宋体" w:hAnsi="宋体"/>
          <w:sz w:val="28"/>
          <w:szCs w:val="28"/>
        </w:rPr>
      </w:pPr>
      <w:r>
        <w:rPr>
          <w:rFonts w:hint="eastAsia" w:ascii="宋体" w:hAnsi="宋体"/>
          <w:sz w:val="28"/>
          <w:szCs w:val="28"/>
        </w:rPr>
        <w:t>钢结构雨棚的路面恢复</w:t>
      </w:r>
      <w:r>
        <w:rPr>
          <w:rFonts w:hint="eastAsia" w:ascii="宋体" w:hAnsi="宋体"/>
          <w:sz w:val="28"/>
          <w:szCs w:val="28"/>
          <w:lang w:eastAsia="zh-CN"/>
        </w:rPr>
        <w:t>，</w:t>
      </w:r>
      <w:r>
        <w:rPr>
          <w:rFonts w:hint="eastAsia" w:ascii="宋体" w:hAnsi="宋体"/>
          <w:sz w:val="28"/>
          <w:szCs w:val="28"/>
        </w:rPr>
        <w:t>按照20cmC30混凝土路面+5cm细沥青</w:t>
      </w:r>
      <w:r>
        <w:rPr>
          <w:rFonts w:hint="eastAsia" w:ascii="宋体" w:hAnsi="宋体"/>
          <w:sz w:val="28"/>
          <w:szCs w:val="28"/>
          <w:lang w:val="en-US" w:eastAsia="zh-CN"/>
        </w:rPr>
        <w:t>恢复</w:t>
      </w:r>
      <w:r>
        <w:rPr>
          <w:rFonts w:hint="eastAsia" w:ascii="宋体" w:hAnsi="宋体"/>
          <w:sz w:val="28"/>
          <w:szCs w:val="28"/>
        </w:rPr>
        <w:t>原样考虑</w:t>
      </w:r>
      <w:r>
        <w:rPr>
          <w:rFonts w:hint="eastAsia" w:ascii="宋体" w:hAnsi="宋体"/>
          <w:sz w:val="28"/>
          <w:szCs w:val="28"/>
          <w:lang w:eastAsia="zh-CN"/>
        </w:rPr>
        <w:t>。</w:t>
      </w:r>
    </w:p>
    <w:p w14:paraId="33AEB658">
      <w:pPr>
        <w:pStyle w:val="16"/>
        <w:numPr>
          <w:ilvl w:val="3"/>
          <w:numId w:val="3"/>
        </w:numPr>
        <w:spacing w:line="520" w:lineRule="exact"/>
        <w:ind w:left="0" w:leftChars="0" w:firstLine="567" w:firstLineChars="0"/>
        <w:jc w:val="left"/>
        <w:rPr>
          <w:rFonts w:hint="eastAsia" w:ascii="宋体" w:hAnsi="宋体"/>
          <w:sz w:val="28"/>
          <w:szCs w:val="28"/>
        </w:rPr>
      </w:pPr>
      <w:r>
        <w:rPr>
          <w:rFonts w:hint="eastAsia" w:ascii="宋体" w:hAnsi="宋体"/>
          <w:sz w:val="28"/>
          <w:szCs w:val="28"/>
        </w:rPr>
        <w:t>钢结构雨篷涂料做法参考停车棚涂料做法</w:t>
      </w:r>
      <w:r>
        <w:rPr>
          <w:rFonts w:hint="eastAsia" w:ascii="宋体" w:hAnsi="宋体"/>
          <w:sz w:val="28"/>
          <w:szCs w:val="28"/>
          <w:lang w:eastAsia="zh-CN"/>
        </w:rPr>
        <w:t>。</w:t>
      </w:r>
    </w:p>
    <w:p w14:paraId="178DB78E">
      <w:pPr>
        <w:pStyle w:val="16"/>
        <w:numPr>
          <w:ilvl w:val="3"/>
          <w:numId w:val="3"/>
        </w:numPr>
        <w:spacing w:line="520" w:lineRule="exact"/>
        <w:ind w:left="0" w:leftChars="0" w:firstLine="567" w:firstLineChars="0"/>
        <w:jc w:val="left"/>
        <w:rPr>
          <w:rFonts w:hint="eastAsia" w:ascii="宋体" w:hAnsi="宋体"/>
          <w:sz w:val="28"/>
          <w:szCs w:val="28"/>
        </w:rPr>
      </w:pPr>
      <w:r>
        <w:rPr>
          <w:rFonts w:hint="eastAsia" w:ascii="宋体" w:hAnsi="宋体"/>
          <w:sz w:val="28"/>
          <w:szCs w:val="28"/>
        </w:rPr>
        <w:t>钢结构雨棚屋面做法按照50mm夹心彩钢板考虑</w:t>
      </w:r>
      <w:r>
        <w:rPr>
          <w:rFonts w:hint="eastAsia" w:ascii="宋体" w:hAnsi="宋体"/>
          <w:sz w:val="28"/>
          <w:szCs w:val="28"/>
          <w:lang w:eastAsia="zh-CN"/>
        </w:rPr>
        <w:t>。</w:t>
      </w:r>
    </w:p>
    <w:p w14:paraId="02F7AE35">
      <w:pPr>
        <w:pStyle w:val="16"/>
        <w:numPr>
          <w:ilvl w:val="3"/>
          <w:numId w:val="3"/>
        </w:numPr>
        <w:spacing w:line="520" w:lineRule="exact"/>
        <w:ind w:left="0" w:leftChars="0" w:firstLine="567" w:firstLineChars="0"/>
        <w:jc w:val="left"/>
        <w:rPr>
          <w:rFonts w:hint="eastAsia" w:ascii="宋体" w:hAnsi="宋体"/>
          <w:sz w:val="28"/>
          <w:szCs w:val="28"/>
        </w:rPr>
      </w:pPr>
      <w:r>
        <w:rPr>
          <w:rFonts w:hint="eastAsia" w:ascii="宋体" w:hAnsi="宋体"/>
          <w:sz w:val="28"/>
          <w:szCs w:val="28"/>
        </w:rPr>
        <w:t>悬浮地板按照1.3cm厚考虑，地面处理费用投标报价综合考虑</w:t>
      </w:r>
      <w:r>
        <w:rPr>
          <w:rFonts w:hint="eastAsia" w:ascii="宋体" w:hAnsi="宋体"/>
          <w:sz w:val="28"/>
          <w:szCs w:val="28"/>
          <w:lang w:eastAsia="zh-CN"/>
        </w:rPr>
        <w:t>。</w:t>
      </w:r>
    </w:p>
    <w:p w14:paraId="67E666BF">
      <w:pPr>
        <w:pStyle w:val="16"/>
        <w:numPr>
          <w:ilvl w:val="3"/>
          <w:numId w:val="3"/>
        </w:numPr>
        <w:spacing w:line="520" w:lineRule="exact"/>
        <w:ind w:left="0" w:leftChars="0" w:firstLine="567" w:firstLineChars="0"/>
        <w:jc w:val="left"/>
        <w:rPr>
          <w:rFonts w:hint="eastAsia" w:ascii="宋体" w:hAnsi="宋体"/>
          <w:sz w:val="28"/>
          <w:szCs w:val="28"/>
        </w:rPr>
      </w:pPr>
      <w:r>
        <w:rPr>
          <w:rFonts w:hint="eastAsia" w:ascii="宋体" w:hAnsi="宋体"/>
          <w:sz w:val="28"/>
          <w:szCs w:val="28"/>
        </w:rPr>
        <w:t>停车棚地面恢复</w:t>
      </w:r>
      <w:r>
        <w:rPr>
          <w:rFonts w:hint="eastAsia" w:ascii="宋体" w:hAnsi="宋体"/>
          <w:sz w:val="28"/>
          <w:szCs w:val="28"/>
          <w:lang w:eastAsia="zh-CN"/>
        </w:rPr>
        <w:t>，</w:t>
      </w:r>
      <w:r>
        <w:rPr>
          <w:rFonts w:hint="eastAsia" w:ascii="宋体" w:hAnsi="宋体"/>
          <w:sz w:val="28"/>
          <w:szCs w:val="28"/>
        </w:rPr>
        <w:t>按照15cmC30混凝土垫层+5cm面包砖考虑</w:t>
      </w:r>
      <w:r>
        <w:rPr>
          <w:rFonts w:hint="eastAsia" w:ascii="宋体" w:hAnsi="宋体"/>
          <w:sz w:val="28"/>
          <w:szCs w:val="28"/>
          <w:lang w:eastAsia="zh-CN"/>
        </w:rPr>
        <w:t>。</w:t>
      </w:r>
    </w:p>
    <w:p w14:paraId="247D0F8F">
      <w:pPr>
        <w:pStyle w:val="16"/>
        <w:numPr>
          <w:ilvl w:val="3"/>
          <w:numId w:val="3"/>
        </w:numPr>
        <w:spacing w:line="520" w:lineRule="exact"/>
        <w:ind w:left="0" w:leftChars="0" w:firstLine="567" w:firstLineChars="0"/>
        <w:jc w:val="left"/>
        <w:rPr>
          <w:rFonts w:hint="eastAsia" w:ascii="宋体" w:hAnsi="宋体"/>
          <w:sz w:val="28"/>
          <w:szCs w:val="28"/>
        </w:rPr>
      </w:pPr>
      <w:r>
        <w:rPr>
          <w:rFonts w:hint="eastAsia" w:ascii="宋体" w:hAnsi="宋体"/>
          <w:sz w:val="28"/>
          <w:szCs w:val="28"/>
        </w:rPr>
        <w:t>拆除围墙按照长度计算，砖柱、围墙基础、铁艺栏杆等拆除综合考虑在报价中，拆除残值</w:t>
      </w:r>
      <w:r>
        <w:rPr>
          <w:rFonts w:hint="eastAsia" w:ascii="宋体" w:hAnsi="宋体"/>
          <w:sz w:val="28"/>
          <w:szCs w:val="28"/>
          <w:lang w:val="en-US" w:eastAsia="zh-CN"/>
        </w:rPr>
        <w:t>归投标人所有，在</w:t>
      </w:r>
      <w:r>
        <w:rPr>
          <w:rFonts w:hint="eastAsia" w:ascii="宋体" w:hAnsi="宋体"/>
          <w:sz w:val="28"/>
          <w:szCs w:val="28"/>
        </w:rPr>
        <w:t>报价中</w:t>
      </w:r>
      <w:r>
        <w:rPr>
          <w:rFonts w:hint="eastAsia" w:ascii="宋体" w:hAnsi="宋体"/>
          <w:sz w:val="28"/>
          <w:szCs w:val="28"/>
          <w:lang w:val="en-US" w:eastAsia="zh-CN"/>
        </w:rPr>
        <w:t>综合考虑</w:t>
      </w:r>
      <w:r>
        <w:rPr>
          <w:rFonts w:hint="eastAsia" w:ascii="宋体" w:hAnsi="宋体"/>
          <w:sz w:val="28"/>
          <w:szCs w:val="28"/>
          <w:lang w:eastAsia="zh-CN"/>
        </w:rPr>
        <w:t>。</w:t>
      </w:r>
    </w:p>
    <w:p w14:paraId="0427245A">
      <w:pPr>
        <w:pStyle w:val="16"/>
        <w:numPr>
          <w:ilvl w:val="3"/>
          <w:numId w:val="3"/>
        </w:numPr>
        <w:spacing w:line="520" w:lineRule="exact"/>
        <w:ind w:left="0" w:leftChars="0" w:firstLine="567" w:firstLineChars="0"/>
        <w:jc w:val="left"/>
        <w:rPr>
          <w:rFonts w:hint="eastAsia" w:ascii="宋体" w:hAnsi="宋体"/>
          <w:color w:val="auto"/>
          <w:sz w:val="28"/>
          <w:szCs w:val="28"/>
        </w:rPr>
      </w:pPr>
      <w:r>
        <w:rPr>
          <w:rFonts w:hint="eastAsia" w:ascii="宋体" w:hAnsi="宋体"/>
          <w:color w:val="auto"/>
          <w:sz w:val="28"/>
          <w:szCs w:val="28"/>
          <w:lang w:val="en-US" w:eastAsia="zh-CN"/>
        </w:rPr>
        <w:t>智能化清单按照设计提供的智能化清单编制。</w:t>
      </w:r>
    </w:p>
    <w:p w14:paraId="1E94DF22">
      <w:pPr>
        <w:pStyle w:val="16"/>
        <w:numPr>
          <w:ilvl w:val="1"/>
          <w:numId w:val="3"/>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措施项目说明</w:t>
      </w:r>
    </w:p>
    <w:p w14:paraId="5040DA84">
      <w:pPr>
        <w:pStyle w:val="16"/>
        <w:numPr>
          <w:ilvl w:val="2"/>
          <w:numId w:val="3"/>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总价措施费</w:t>
      </w:r>
    </w:p>
    <w:p w14:paraId="630BD883">
      <w:pPr>
        <w:pStyle w:val="16"/>
        <w:numPr>
          <w:ilvl w:val="3"/>
          <w:numId w:val="3"/>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总价措施费中的安全文明施工费，必须按招标清单中列明的费率进行报价；其他总价措施费由投标人自行考虑，以费率报价。本项目无创建优质工程要求。</w:t>
      </w:r>
    </w:p>
    <w:p w14:paraId="587DFC45">
      <w:pPr>
        <w:pStyle w:val="16"/>
        <w:numPr>
          <w:ilvl w:val="3"/>
          <w:numId w:val="3"/>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安全文明施工费：按《江苏省建设工程费用定额》（2014年）营改增调整后规定的费率计算，</w:t>
      </w:r>
      <w:bookmarkStart w:id="5" w:name="_Hlk192769617"/>
      <w:r>
        <w:rPr>
          <w:rFonts w:hint="eastAsia" w:ascii="宋体" w:hAnsi="宋体"/>
          <w:bCs/>
          <w:sz w:val="28"/>
          <w:szCs w:val="28"/>
        </w:rPr>
        <w:t>其中增加费不计算</w:t>
      </w:r>
      <w:bookmarkEnd w:id="5"/>
      <w:r>
        <w:rPr>
          <w:rFonts w:hint="eastAsia" w:ascii="宋体" w:hAnsi="宋体"/>
          <w:bCs/>
          <w:sz w:val="28"/>
          <w:szCs w:val="28"/>
        </w:rPr>
        <w:t>。安全文明施工费结算时按造价管理部门核定的费率调整，未经核定，不得计算。</w:t>
      </w:r>
    </w:p>
    <w:p w14:paraId="7443C55F">
      <w:pPr>
        <w:pStyle w:val="16"/>
        <w:numPr>
          <w:ilvl w:val="3"/>
          <w:numId w:val="3"/>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最高投标限价中，夜间施工、冬雨季施工增加费、已完工程及设备保护、临时设施费按《江苏省建设工程费用定额》（</w:t>
      </w:r>
      <w:r>
        <w:rPr>
          <w:rFonts w:ascii="宋体" w:hAnsi="宋体"/>
          <w:bCs/>
          <w:sz w:val="28"/>
          <w:szCs w:val="28"/>
        </w:rPr>
        <w:t>2014年）营改增调整后规定的费率</w:t>
      </w:r>
      <w:r>
        <w:rPr>
          <w:rFonts w:hint="eastAsia" w:ascii="宋体" w:hAnsi="宋体"/>
          <w:bCs/>
          <w:sz w:val="28"/>
          <w:szCs w:val="28"/>
        </w:rPr>
        <w:t>取中间值计算。建筑工人实名制费用计算</w:t>
      </w:r>
      <w:r>
        <w:rPr>
          <w:rFonts w:hint="eastAsia" w:ascii="宋体" w:hAnsi="宋体"/>
          <w:bCs/>
          <w:sz w:val="28"/>
          <w:szCs w:val="28"/>
          <w:lang w:eastAsia="zh-CN"/>
        </w:rPr>
        <w:t>、</w:t>
      </w:r>
      <w:r>
        <w:rPr>
          <w:rFonts w:hint="eastAsia" w:ascii="宋体" w:hAnsi="宋体"/>
          <w:bCs/>
          <w:sz w:val="28"/>
          <w:szCs w:val="28"/>
        </w:rPr>
        <w:t>智慧工地费用不计算。</w:t>
      </w:r>
    </w:p>
    <w:p w14:paraId="66F7B356">
      <w:pPr>
        <w:pStyle w:val="16"/>
        <w:numPr>
          <w:ilvl w:val="2"/>
          <w:numId w:val="3"/>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单价措施费</w:t>
      </w:r>
    </w:p>
    <w:p w14:paraId="47A7E4C0">
      <w:pPr>
        <w:pStyle w:val="16"/>
        <w:numPr>
          <w:ilvl w:val="3"/>
          <w:numId w:val="3"/>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脚手架。</w:t>
      </w:r>
      <w:r>
        <w:rPr>
          <w:rFonts w:hint="eastAsia" w:ascii="宋体" w:hAnsi="宋体"/>
          <w:sz w:val="28"/>
          <w:szCs w:val="28"/>
        </w:rPr>
        <w:t>按常规施工组织方案设置工程量清单并计价。</w:t>
      </w:r>
    </w:p>
    <w:p w14:paraId="0EFF72EB">
      <w:pPr>
        <w:pStyle w:val="16"/>
        <w:numPr>
          <w:ilvl w:val="3"/>
          <w:numId w:val="3"/>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模板工程。按常规施工组织方案设置工程量清单并计价</w:t>
      </w:r>
      <w:r>
        <w:rPr>
          <w:rFonts w:hint="eastAsia" w:ascii="宋体" w:hAnsi="宋体"/>
          <w:bCs/>
          <w:sz w:val="28"/>
          <w:szCs w:val="28"/>
          <w:lang w:eastAsia="zh-CN"/>
        </w:rPr>
        <w:t>。</w:t>
      </w:r>
    </w:p>
    <w:p w14:paraId="296C37F5">
      <w:pPr>
        <w:pStyle w:val="16"/>
        <w:numPr>
          <w:ilvl w:val="3"/>
          <w:numId w:val="3"/>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大型机械进退场费用投标人综合考虑，结算时不做调整</w:t>
      </w:r>
      <w:r>
        <w:rPr>
          <w:rFonts w:hint="eastAsia" w:ascii="宋体" w:hAnsi="宋体"/>
          <w:bCs/>
          <w:sz w:val="28"/>
          <w:szCs w:val="28"/>
          <w:lang w:eastAsia="zh-CN"/>
        </w:rPr>
        <w:t>。</w:t>
      </w:r>
    </w:p>
    <w:p w14:paraId="5497FD76">
      <w:pPr>
        <w:pStyle w:val="16"/>
        <w:numPr>
          <w:ilvl w:val="3"/>
          <w:numId w:val="3"/>
        </w:numPr>
        <w:spacing w:line="520" w:lineRule="exact"/>
        <w:ind w:left="0" w:leftChars="0" w:firstLine="567" w:firstLineChars="0"/>
        <w:jc w:val="left"/>
        <w:rPr>
          <w:rFonts w:hint="eastAsia" w:ascii="宋体" w:hAnsi="宋体"/>
          <w:bCs/>
          <w:sz w:val="28"/>
          <w:szCs w:val="28"/>
        </w:rPr>
      </w:pPr>
      <w:r>
        <w:rPr>
          <w:rFonts w:hint="eastAsia" w:ascii="宋体" w:hAnsi="宋体" w:cs="宋体"/>
          <w:sz w:val="28"/>
          <w:szCs w:val="28"/>
          <w:lang w:val="en-US" w:eastAsia="zh-CN"/>
        </w:rPr>
        <w:t>垂直运输费用投标人综合考虑，结算时不做调整。</w:t>
      </w:r>
    </w:p>
    <w:p w14:paraId="78E85AB0">
      <w:pPr>
        <w:pStyle w:val="16"/>
        <w:numPr>
          <w:ilvl w:val="1"/>
          <w:numId w:val="3"/>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其他项目</w:t>
      </w:r>
    </w:p>
    <w:p w14:paraId="04EC106C">
      <w:pPr>
        <w:pStyle w:val="16"/>
        <w:numPr>
          <w:ilvl w:val="3"/>
          <w:numId w:val="3"/>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暂列金额：</w:t>
      </w:r>
      <w:r>
        <w:rPr>
          <w:rFonts w:hint="eastAsia" w:ascii="宋体" w:hAnsi="宋体"/>
          <w:bCs/>
          <w:sz w:val="28"/>
          <w:szCs w:val="28"/>
          <w:lang w:val="en-US" w:eastAsia="zh-CN"/>
        </w:rPr>
        <w:t>根据建设单位意见按</w:t>
      </w:r>
      <w:r>
        <w:rPr>
          <w:rFonts w:hint="eastAsia" w:ascii="宋体" w:hAnsi="宋体"/>
          <w:bCs/>
          <w:sz w:val="28"/>
          <w:szCs w:val="28"/>
        </w:rPr>
        <w:t>分部分项的10%作为暂列金。</w:t>
      </w:r>
    </w:p>
    <w:p w14:paraId="6F3EA3B9">
      <w:pPr>
        <w:pStyle w:val="16"/>
        <w:numPr>
          <w:ilvl w:val="3"/>
          <w:numId w:val="3"/>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计日工：无。</w:t>
      </w:r>
    </w:p>
    <w:p w14:paraId="511BDBA7">
      <w:pPr>
        <w:pStyle w:val="16"/>
        <w:numPr>
          <w:ilvl w:val="3"/>
          <w:numId w:val="3"/>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总承包服务费：无。</w:t>
      </w:r>
    </w:p>
    <w:p w14:paraId="34C681CA">
      <w:pPr>
        <w:pStyle w:val="16"/>
        <w:numPr>
          <w:ilvl w:val="1"/>
          <w:numId w:val="3"/>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规费和税金</w:t>
      </w:r>
    </w:p>
    <w:p w14:paraId="3E6E0058">
      <w:pPr>
        <w:pStyle w:val="16"/>
        <w:numPr>
          <w:ilvl w:val="3"/>
          <w:numId w:val="3"/>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规费：为不可竞争费，必须按招标清单中列明的费率进行报价。</w:t>
      </w:r>
    </w:p>
    <w:p w14:paraId="1D100145">
      <w:pPr>
        <w:pStyle w:val="16"/>
        <w:numPr>
          <w:ilvl w:val="4"/>
          <w:numId w:val="3"/>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环境保护税：不计取，由甲方自行缴纳。</w:t>
      </w:r>
    </w:p>
    <w:p w14:paraId="0A0D6A9E">
      <w:pPr>
        <w:pStyle w:val="16"/>
        <w:numPr>
          <w:ilvl w:val="4"/>
          <w:numId w:val="3"/>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社会保险费：按规定费率计取。</w:t>
      </w:r>
    </w:p>
    <w:p w14:paraId="3FBFEBDE">
      <w:pPr>
        <w:pStyle w:val="16"/>
        <w:numPr>
          <w:ilvl w:val="4"/>
          <w:numId w:val="3"/>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住房公积金：按规定费率计取。</w:t>
      </w:r>
    </w:p>
    <w:p w14:paraId="40C86D87">
      <w:pPr>
        <w:pStyle w:val="16"/>
        <w:numPr>
          <w:ilvl w:val="3"/>
          <w:numId w:val="3"/>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rPr>
        <w:t>税金：按一般计税法（税率9%），为不可竞争费，必须按招标清单中列明的费率进行报价。</w:t>
      </w:r>
      <w:bookmarkEnd w:id="4"/>
      <w:r>
        <w:rPr>
          <w:rFonts w:hint="eastAsia" w:ascii="宋体" w:hAnsi="宋体"/>
          <w:bCs/>
          <w:sz w:val="28"/>
          <w:szCs w:val="28"/>
        </w:rPr>
        <w:br w:type="page"/>
      </w:r>
    </w:p>
    <w:p w14:paraId="641EB1A0">
      <w:pPr>
        <w:pStyle w:val="16"/>
        <w:numPr>
          <w:ilvl w:val="0"/>
          <w:numId w:val="1"/>
        </w:numPr>
        <w:spacing w:line="520" w:lineRule="exact"/>
        <w:ind w:left="0" w:leftChars="0" w:firstLine="567" w:firstLineChars="0"/>
        <w:jc w:val="left"/>
        <w:rPr>
          <w:rFonts w:hint="eastAsia" w:ascii="宋体" w:hAnsi="宋体"/>
          <w:b/>
          <w:sz w:val="28"/>
          <w:szCs w:val="28"/>
        </w:rPr>
      </w:pPr>
      <w:r>
        <w:rPr>
          <w:rFonts w:hint="eastAsia" w:ascii="宋体" w:hAnsi="宋体"/>
          <w:b/>
          <w:sz w:val="28"/>
          <w:szCs w:val="28"/>
        </w:rPr>
        <w:t>审核结论</w:t>
      </w:r>
      <w:bookmarkStart w:id="6" w:name="_GoBack"/>
      <w:bookmarkEnd w:id="6"/>
    </w:p>
    <w:p w14:paraId="08914250">
      <w:pPr>
        <w:pStyle w:val="16"/>
        <w:spacing w:line="520" w:lineRule="exact"/>
        <w:ind w:firstLine="567" w:firstLineChars="0"/>
        <w:jc w:val="left"/>
        <w:rPr>
          <w:rFonts w:hint="eastAsia" w:ascii="宋体" w:hAnsi="宋体"/>
          <w:bCs/>
          <w:color w:val="auto"/>
          <w:sz w:val="28"/>
          <w:szCs w:val="28"/>
        </w:rPr>
      </w:pPr>
      <w:r>
        <w:rPr>
          <w:rFonts w:hint="eastAsia" w:ascii="宋体" w:hAnsi="宋体"/>
          <w:color w:val="auto"/>
          <w:sz w:val="28"/>
          <w:szCs w:val="28"/>
        </w:rPr>
        <w:t>本工程</w:t>
      </w:r>
      <w:r>
        <w:rPr>
          <w:rFonts w:ascii="宋体" w:hAnsi="宋体"/>
          <w:color w:val="auto"/>
          <w:sz w:val="28"/>
          <w:szCs w:val="28"/>
        </w:rPr>
        <w:t>审定</w:t>
      </w:r>
      <w:r>
        <w:rPr>
          <w:rFonts w:hint="eastAsia" w:ascii="宋体" w:hAnsi="宋体"/>
          <w:color w:val="auto"/>
          <w:sz w:val="28"/>
          <w:szCs w:val="28"/>
        </w:rPr>
        <w:t>的最高投标限价总价为</w:t>
      </w:r>
      <w:r>
        <w:rPr>
          <w:rFonts w:hint="eastAsia" w:ascii="宋体" w:hAnsi="宋体"/>
          <w:bCs/>
          <w:color w:val="auto"/>
          <w:sz w:val="28"/>
          <w:szCs w:val="28"/>
          <w:highlight w:val="none"/>
        </w:rPr>
        <w:t>2829225.52</w:t>
      </w:r>
      <w:r>
        <w:rPr>
          <w:rFonts w:hint="eastAsia" w:ascii="宋体" w:hAnsi="宋体"/>
          <w:color w:val="auto"/>
          <w:sz w:val="28"/>
          <w:szCs w:val="28"/>
          <w:highlight w:val="none"/>
        </w:rPr>
        <w:t>元</w:t>
      </w:r>
      <w:r>
        <w:rPr>
          <w:rFonts w:hint="eastAsia" w:ascii="宋体" w:hAnsi="宋体"/>
          <w:bCs/>
          <w:color w:val="auto"/>
          <w:sz w:val="28"/>
          <w:szCs w:val="28"/>
        </w:rPr>
        <w:t>。</w:t>
      </w:r>
    </w:p>
    <w:p w14:paraId="47A99BDA">
      <w:pPr>
        <w:pStyle w:val="16"/>
        <w:spacing w:line="520" w:lineRule="exact"/>
        <w:ind w:firstLine="567" w:firstLineChars="0"/>
        <w:jc w:val="left"/>
        <w:rPr>
          <w:rFonts w:hint="eastAsia" w:ascii="宋体" w:hAnsi="宋体"/>
          <w:bCs/>
          <w:color w:val="auto"/>
          <w:sz w:val="28"/>
          <w:szCs w:val="28"/>
        </w:rPr>
      </w:pPr>
      <w:r>
        <w:rPr>
          <w:rFonts w:hint="eastAsia" w:ascii="宋体" w:hAnsi="宋体"/>
          <w:bCs/>
          <w:color w:val="auto"/>
          <w:sz w:val="28"/>
          <w:szCs w:val="28"/>
        </w:rPr>
        <w:t>附件：工程量清单和最高投标限价</w:t>
      </w:r>
    </w:p>
    <w:p w14:paraId="50CCDB27">
      <w:pPr>
        <w:pStyle w:val="16"/>
        <w:spacing w:line="520" w:lineRule="exact"/>
        <w:ind w:firstLine="567" w:firstLineChars="0"/>
        <w:jc w:val="left"/>
        <w:rPr>
          <w:rFonts w:hint="eastAsia" w:ascii="宋体" w:hAnsi="宋体"/>
          <w:bCs/>
          <w:sz w:val="28"/>
          <w:szCs w:val="28"/>
        </w:rPr>
      </w:pPr>
    </w:p>
    <w:p w14:paraId="5E0042A7">
      <w:pPr>
        <w:pStyle w:val="16"/>
        <w:spacing w:line="520" w:lineRule="exact"/>
        <w:ind w:firstLine="567" w:firstLineChars="0"/>
        <w:jc w:val="left"/>
        <w:rPr>
          <w:rFonts w:hint="eastAsia" w:ascii="宋体" w:hAnsi="宋体"/>
          <w:bCs/>
          <w:sz w:val="28"/>
          <w:szCs w:val="28"/>
        </w:rPr>
      </w:pPr>
      <w:r>
        <w:rPr>
          <w:rFonts w:hint="eastAsia" w:ascii="宋体" w:hAnsi="宋体"/>
          <w:bCs/>
          <w:sz w:val="28"/>
          <w:szCs w:val="28"/>
        </w:rPr>
        <w:t>项目负责人：</w:t>
      </w:r>
    </w:p>
    <w:p w14:paraId="4B09F88E">
      <w:pPr>
        <w:pStyle w:val="16"/>
        <w:spacing w:line="520" w:lineRule="exact"/>
        <w:ind w:firstLine="567" w:firstLineChars="0"/>
        <w:jc w:val="left"/>
        <w:rPr>
          <w:rFonts w:hint="eastAsia" w:ascii="宋体" w:hAnsi="宋体"/>
          <w:bCs/>
          <w:sz w:val="28"/>
          <w:szCs w:val="28"/>
        </w:rPr>
      </w:pPr>
    </w:p>
    <w:p w14:paraId="58912B0A">
      <w:pPr>
        <w:pStyle w:val="16"/>
        <w:spacing w:line="520" w:lineRule="exact"/>
        <w:ind w:firstLine="567" w:firstLineChars="0"/>
        <w:jc w:val="left"/>
        <w:rPr>
          <w:rFonts w:hint="eastAsia" w:ascii="宋体" w:hAnsi="宋体"/>
          <w:bCs/>
          <w:sz w:val="28"/>
          <w:szCs w:val="28"/>
        </w:rPr>
      </w:pPr>
    </w:p>
    <w:p w14:paraId="542CF519">
      <w:pPr>
        <w:pStyle w:val="16"/>
        <w:spacing w:line="520" w:lineRule="exact"/>
        <w:ind w:firstLine="567" w:firstLineChars="0"/>
        <w:jc w:val="left"/>
        <w:rPr>
          <w:rFonts w:hint="eastAsia" w:ascii="宋体" w:hAnsi="宋体"/>
          <w:bCs/>
          <w:sz w:val="28"/>
          <w:szCs w:val="28"/>
        </w:rPr>
      </w:pPr>
    </w:p>
    <w:p w14:paraId="5BC3B172">
      <w:pPr>
        <w:pStyle w:val="16"/>
        <w:spacing w:line="520" w:lineRule="exact"/>
        <w:ind w:firstLine="567" w:firstLineChars="0"/>
        <w:jc w:val="right"/>
        <w:rPr>
          <w:rFonts w:hint="eastAsia" w:ascii="宋体" w:hAnsi="宋体"/>
          <w:bCs/>
          <w:sz w:val="28"/>
          <w:szCs w:val="28"/>
        </w:rPr>
      </w:pPr>
      <w:r>
        <w:rPr>
          <w:rFonts w:hint="eastAsia" w:ascii="宋体" w:hAnsi="宋体"/>
          <w:bCs/>
          <w:sz w:val="28"/>
          <w:szCs w:val="28"/>
        </w:rPr>
        <w:t>江苏建达全过程工程咨询有限公司</w:t>
      </w:r>
    </w:p>
    <w:p w14:paraId="7D7B5BCB">
      <w:pPr>
        <w:pStyle w:val="16"/>
        <w:spacing w:line="520" w:lineRule="exact"/>
        <w:ind w:firstLine="567" w:firstLineChars="0"/>
        <w:jc w:val="right"/>
        <w:rPr>
          <w:rFonts w:hint="eastAsia" w:ascii="宋体" w:hAnsi="宋体"/>
          <w:bCs/>
          <w:sz w:val="28"/>
          <w:szCs w:val="28"/>
        </w:rPr>
      </w:pPr>
      <w:r>
        <w:rPr>
          <w:rFonts w:hint="eastAsia" w:ascii="宋体" w:hAnsi="宋体"/>
          <w:bCs/>
          <w:sz w:val="28"/>
          <w:szCs w:val="28"/>
        </w:rPr>
        <w:t>二〇二</w:t>
      </w:r>
      <w:r>
        <w:rPr>
          <w:rFonts w:hint="eastAsia" w:ascii="宋体" w:hAnsi="宋体"/>
          <w:bCs/>
          <w:sz w:val="28"/>
          <w:szCs w:val="28"/>
          <w:lang w:val="en-US" w:eastAsia="zh-CN"/>
        </w:rPr>
        <w:t>六</w:t>
      </w:r>
      <w:r>
        <w:rPr>
          <w:rFonts w:hint="eastAsia" w:ascii="宋体" w:hAnsi="宋体"/>
          <w:bCs/>
          <w:sz w:val="28"/>
          <w:szCs w:val="28"/>
        </w:rPr>
        <w:t>年</w:t>
      </w:r>
      <w:r>
        <w:rPr>
          <w:rFonts w:hint="eastAsia" w:ascii="宋体" w:hAnsi="宋体"/>
          <w:bCs/>
          <w:sz w:val="28"/>
          <w:szCs w:val="28"/>
          <w:lang w:val="en-US" w:eastAsia="zh-CN"/>
        </w:rPr>
        <w:t>六</w:t>
      </w:r>
      <w:r>
        <w:rPr>
          <w:rFonts w:hint="eastAsia" w:ascii="宋体" w:hAnsi="宋体"/>
          <w:bCs/>
          <w:sz w:val="28"/>
          <w:szCs w:val="28"/>
        </w:rPr>
        <w:t>月</w:t>
      </w:r>
      <w:r>
        <w:rPr>
          <w:rFonts w:hint="eastAsia" w:ascii="宋体" w:hAnsi="宋体"/>
          <w:bCs/>
          <w:sz w:val="28"/>
          <w:szCs w:val="28"/>
          <w:lang w:val="en-US" w:eastAsia="zh-CN"/>
        </w:rPr>
        <w:t>三十</w:t>
      </w:r>
      <w:r>
        <w:rPr>
          <w:rFonts w:hint="eastAsia" w:ascii="宋体" w:hAnsi="宋体"/>
          <w:bCs/>
          <w:sz w:val="28"/>
          <w:szCs w:val="28"/>
        </w:rPr>
        <w:t>日</w:t>
      </w:r>
    </w:p>
    <w:p w14:paraId="007D84D8">
      <w:pPr>
        <w:spacing w:line="520" w:lineRule="exact"/>
        <w:jc w:val="center"/>
        <w:rPr>
          <w:rFonts w:hint="eastAsia" w:ascii="宋体" w:hAnsi="宋体" w:eastAsia="宋体"/>
          <w:sz w:val="28"/>
          <w:szCs w:val="28"/>
        </w:rPr>
      </w:pPr>
    </w:p>
    <w:p w14:paraId="6A5DFCF3">
      <w:pPr>
        <w:spacing w:line="520" w:lineRule="exact"/>
        <w:jc w:val="center"/>
        <w:rPr>
          <w:rFonts w:hint="eastAsia" w:ascii="宋体" w:hAnsi="宋体" w:eastAsia="宋体"/>
          <w:sz w:val="28"/>
          <w:szCs w:val="28"/>
        </w:rPr>
      </w:pPr>
    </w:p>
    <w:p w14:paraId="32BDF61B">
      <w:pPr>
        <w:spacing w:line="520" w:lineRule="exact"/>
        <w:rPr>
          <w:rFonts w:hint="eastAsia" w:ascii="宋体" w:hAnsi="宋体" w:eastAsia="宋体"/>
          <w:sz w:val="28"/>
          <w:szCs w:val="28"/>
        </w:rPr>
      </w:pPr>
    </w:p>
    <w:p w14:paraId="3C974A77">
      <w:pPr>
        <w:spacing w:line="520" w:lineRule="exact"/>
        <w:rPr>
          <w:rFonts w:hint="eastAsia" w:ascii="宋体" w:hAnsi="宋体" w:eastAsia="宋体"/>
          <w:sz w:val="28"/>
          <w:szCs w:val="28"/>
        </w:rPr>
      </w:pPr>
    </w:p>
    <w:p w14:paraId="13109D36">
      <w:pPr>
        <w:spacing w:line="520" w:lineRule="exact"/>
        <w:rPr>
          <w:rFonts w:hint="eastAsia" w:ascii="宋体" w:hAnsi="宋体" w:eastAsia="宋体"/>
          <w:sz w:val="28"/>
          <w:szCs w:val="28"/>
        </w:rPr>
      </w:pPr>
    </w:p>
    <w:p w14:paraId="7F6BDC42">
      <w:pPr>
        <w:spacing w:line="520" w:lineRule="exact"/>
        <w:rPr>
          <w:rFonts w:hint="eastAsia" w:ascii="宋体" w:hAnsi="宋体" w:eastAsia="宋体"/>
          <w:sz w:val="28"/>
          <w:szCs w:val="28"/>
        </w:rPr>
      </w:pPr>
    </w:p>
    <w:p w14:paraId="67EDC04B">
      <w:pPr>
        <w:spacing w:line="520" w:lineRule="exact"/>
        <w:rPr>
          <w:rFonts w:hint="eastAsia" w:ascii="宋体" w:hAnsi="宋体" w:eastAsia="宋体"/>
          <w:sz w:val="28"/>
          <w:szCs w:val="28"/>
        </w:rPr>
      </w:pPr>
    </w:p>
    <w:p w14:paraId="19743B68">
      <w:pPr>
        <w:spacing w:line="520" w:lineRule="exact"/>
        <w:rPr>
          <w:rFonts w:hint="eastAsia" w:ascii="宋体" w:hAnsi="宋体" w:eastAsia="宋体"/>
          <w:sz w:val="28"/>
          <w:szCs w:val="28"/>
        </w:rPr>
      </w:pPr>
    </w:p>
    <w:p w14:paraId="1B17BC3B">
      <w:pPr>
        <w:spacing w:line="520" w:lineRule="exact"/>
        <w:rPr>
          <w:rFonts w:hint="eastAsia" w:ascii="宋体" w:hAnsi="宋体" w:eastAsia="宋体"/>
          <w:sz w:val="28"/>
          <w:szCs w:val="28"/>
        </w:rPr>
      </w:pPr>
    </w:p>
    <w:p w14:paraId="789CE6CA">
      <w:pPr>
        <w:spacing w:line="520" w:lineRule="exact"/>
        <w:rPr>
          <w:rFonts w:hint="eastAsia" w:ascii="宋体" w:hAnsi="宋体" w:eastAsia="宋体"/>
          <w:sz w:val="28"/>
          <w:szCs w:val="28"/>
        </w:rPr>
      </w:pPr>
    </w:p>
    <w:p w14:paraId="364EDEE6">
      <w:pPr>
        <w:snapToGrid w:val="0"/>
        <w:spacing w:after="60" w:line="520" w:lineRule="exact"/>
        <w:rPr>
          <w:rFonts w:hint="eastAsia" w:ascii="宋体" w:hAnsi="宋体" w:eastAsia="宋体"/>
          <w:b/>
          <w:bCs/>
          <w:sz w:val="28"/>
          <w:szCs w:val="28"/>
        </w:rPr>
      </w:pPr>
      <w:r>
        <w:rPr>
          <w:rFonts w:hint="eastAsia" w:ascii="宋体" w:hAnsi="宋体" w:eastAsia="宋体"/>
          <w:sz w:val="28"/>
          <w:szCs w:val="28"/>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359410</wp:posOffset>
                </wp:positionV>
                <wp:extent cx="5586095" cy="0"/>
                <wp:effectExtent l="0" t="0" r="0" b="0"/>
                <wp:wrapNone/>
                <wp:docPr id="1" name="直线 27"/>
                <wp:cNvGraphicFramePr/>
                <a:graphic xmlns:a="http://schemas.openxmlformats.org/drawingml/2006/main">
                  <a:graphicData uri="http://schemas.microsoft.com/office/word/2010/wordprocessingShape">
                    <wps:wsp>
                      <wps:cNvCnPr>
                        <a:cxnSpLocks noChangeShapeType="1"/>
                      </wps:cNvCnPr>
                      <wps:spPr bwMode="auto">
                        <a:xfrm flipV="1">
                          <a:off x="0" y="0"/>
                          <a:ext cx="5586277" cy="0"/>
                        </a:xfrm>
                        <a:prstGeom prst="line">
                          <a:avLst/>
                        </a:prstGeom>
                        <a:noFill/>
                        <a:ln w="19050">
                          <a:solidFill>
                            <a:schemeClr val="tx1"/>
                          </a:solidFill>
                          <a:round/>
                        </a:ln>
                        <a:effectLst/>
                      </wps:spPr>
                      <wps:bodyPr/>
                    </wps:wsp>
                  </a:graphicData>
                </a:graphic>
              </wp:anchor>
            </w:drawing>
          </mc:Choice>
          <mc:Fallback>
            <w:pict>
              <v:line id="直线 27" o:spid="_x0000_s1026" o:spt="20" style="position:absolute;left:0pt;flip:y;margin-top:28.3pt;height:0pt;width:439.85pt;mso-position-horizontal:left;mso-position-horizontal-relative:margin;z-index:251660288;mso-width-relative:page;mso-height-relative:page;" filled="f" stroked="t" coordsize="21600,21600" o:gfxdata="UEsDBAoAAAAAAIdO4kAAAAAAAAAAAAAAAAAEAAAAZHJzL1BLAwQUAAAACACHTuJAOwBlMtUAAAAG&#10;AQAADwAAAGRycy9kb3ducmV2LnhtbE2PzW7CMBCE75V4B2sr9YKKTaUGmsbhgFSkSnAA+gBLvCRp&#10;43UUm5++fbfi0B5nZzXzTbG4+k6daYhtYAvTiQFFXAXXcm3hY//2OAcVE7LDLjBZ+KYIi3J0V2Du&#10;woW3dN6lWkkIxxwtNCn1udaxashjnISeWLxjGDwmkUOt3YAXCfedfjIm0x5bloYGe1o2VH3tTt5C&#10;HPN6s11L6Z7oaD7H/Wrl3619uJ+aV1CJrunvGX7xBR1KYTqEE7uoOgsyJFl4zjJQ4s5nLzNQh9tB&#10;l4X+j1/+AFBLAwQUAAAACACHTuJAC5c+K+MBAAC7AwAADgAAAGRycy9lMm9Eb2MueG1srVPBbtsw&#10;DL0P2D8Iui92AqTpjDg9JOgu3Rag7e6KLMfCJFEQlTj5lv3GTrvsc/obo+Qk7bpLD/NBEEXyke+R&#10;nt8crGF7FVCDq/l4VHKmnIRGu23NHx9uP1xzhlG4RhhwquZHhfxm8f7dvPeVmkAHplGBEYjDqvc1&#10;72L0VVGg7JQVOAKvHDlbCFZEMsO2aILoCd2aYlKWV0UPofEBpEKk19Xg5CfE8BZAaFst1QrkzioX&#10;B9SgjIhECTvtkS9yt22rZPzatqgiMzUnpjGfVITum3QWi7motkH4TstTC+ItLbziZIV2VPQCtRJR&#10;sF3Q/0BZLQMgtHEkwRYDkawIsRiXr7S574RXmQtJjf4iOv4/WPllvw5MN7QJnDlhaeBPP34+/frN&#10;JrMkTu+xopilW4dETx7cvb8D+R2Zg2Un3FblJh+OnjLHKaP4KyUZ6KnEpv8MDcWIXYSs1KENlrVG&#10;+28pMYGTGuyQR3O8jEYdIpP0OJ1eX01mM87k2VeIKkGkRB8wflJgWbrU3GiXVBOV2N9hTC09h6Rn&#10;B7famDx541hP5T+W0zJnIBjdJG+Kw7DdLE1ge5GWJ3+ZIHlehgXYuWaoYlzKU3nvTqXPAgxSbqA5&#10;rsNZJZppbu60f2lpXtpZy+d/bvE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wBlMtUAAAAGAQAA&#10;DwAAAAAAAAABACAAAAAiAAAAZHJzL2Rvd25yZXYueG1sUEsBAhQAFAAAAAgAh07iQAuXPivjAQAA&#10;uwMAAA4AAAAAAAAAAQAgAAAAJAEAAGRycy9lMm9Eb2MueG1sUEsFBgAAAAAGAAYAWQEAAHkFAAAA&#10;AA==&#10;">
                <v:fill on="f" focussize="0,0"/>
                <v:stroke weight="1.5pt" color="#000000 [3213]" joinstyle="round"/>
                <v:imagedata o:title=""/>
                <o:lock v:ext="edit" aspectratio="f"/>
              </v:line>
            </w:pict>
          </mc:Fallback>
        </mc:AlternateContent>
      </w:r>
      <w:r>
        <w:rPr>
          <w:rFonts w:hint="eastAsia" w:ascii="宋体" w:hAnsi="宋体" w:eastAsia="宋体"/>
          <w:b/>
          <w:bCs/>
          <w:sz w:val="28"/>
          <w:szCs w:val="28"/>
        </w:rPr>
        <w:t>主题词：最高投标限价审核</w:t>
      </w:r>
    </w:p>
    <w:p w14:paraId="0AC9FFCA">
      <w:pPr>
        <w:spacing w:line="520" w:lineRule="exact"/>
        <w:jc w:val="left"/>
        <w:rPr>
          <w:rFonts w:hint="eastAsia" w:ascii="宋体" w:hAnsi="宋体" w:eastAsia="宋体"/>
          <w:bCs/>
          <w:sz w:val="28"/>
          <w:szCs w:val="28"/>
        </w:rPr>
      </w:pPr>
      <w:r>
        <w:rPr>
          <w:rFonts w:hint="eastAsia" w:ascii="宋体" w:hAnsi="宋体" w:eastAsia="宋体"/>
          <w:sz w:val="28"/>
          <w:szCs w:val="28"/>
        </w:rP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365125</wp:posOffset>
                </wp:positionV>
                <wp:extent cx="5586095" cy="0"/>
                <wp:effectExtent l="0" t="0" r="0" b="0"/>
                <wp:wrapNone/>
                <wp:docPr id="3" name="直线 27"/>
                <wp:cNvGraphicFramePr/>
                <a:graphic xmlns:a="http://schemas.openxmlformats.org/drawingml/2006/main">
                  <a:graphicData uri="http://schemas.microsoft.com/office/word/2010/wordprocessingShape">
                    <wps:wsp>
                      <wps:cNvCnPr>
                        <a:cxnSpLocks noChangeShapeType="1"/>
                      </wps:cNvCnPr>
                      <wps:spPr bwMode="auto">
                        <a:xfrm flipV="1">
                          <a:off x="0" y="0"/>
                          <a:ext cx="5586277" cy="0"/>
                        </a:xfrm>
                        <a:prstGeom prst="line">
                          <a:avLst/>
                        </a:prstGeom>
                        <a:noFill/>
                        <a:ln w="19050">
                          <a:solidFill>
                            <a:schemeClr val="tx1"/>
                          </a:solidFill>
                          <a:round/>
                        </a:ln>
                        <a:effectLst/>
                      </wps:spPr>
                      <wps:bodyPr/>
                    </wps:wsp>
                  </a:graphicData>
                </a:graphic>
              </wp:anchor>
            </w:drawing>
          </mc:Choice>
          <mc:Fallback>
            <w:pict>
              <v:line id="直线 27" o:spid="_x0000_s1026" o:spt="20" style="position:absolute;left:0pt;flip:y;margin-top:28.75pt;height:0pt;width:439.85pt;mso-position-horizontal:left;mso-position-horizontal-relative:margin;z-index:251661312;mso-width-relative:page;mso-height-relative:page;" filled="f" stroked="t" coordsize="21600,21600" o:gfxdata="UEsDBAoAAAAAAIdO4kAAAAAAAAAAAAAAAAAEAAAAZHJzL1BLAwQUAAAACACHTuJANdFEENUAAAAG&#10;AQAADwAAAGRycy9kb3ducmV2LnhtbE2PzW7CMBCE75X6DtYi9YKKTSUamsbhUKlIleAA9AGWeElS&#10;4nUUm5++fRf10B5nZzXzTbG4+k6daYhtYAvTiQFFXAXXcm3hc/f+OAcVE7LDLjBZ+KYIi/L+rsDc&#10;hQtv6LxNtZIQjjlaaFLqc61j1ZDHOAk9sXiHMHhMIodauwEvEu47/WTMs/bYsjQ02NNbQ9Vxe/IW&#10;4phX681KSndEB/M17pdL/2Htw2hqXkEluqa/Z7jhCzqUwrQPJ3ZRdRZkSLIwy2agxJ1nLxmo/e9B&#10;l4X+j1/+AFBLAwQUAAAACACHTuJAVLhY/OQBAAC7AwAADgAAAGRycy9lMm9Eb2MueG1srVPBbtsw&#10;DL0P2D8Iui92MqTpjDg9JOgu3Rag3e6KLMfCJFEQlTj5lv3GTrvsc/obo+Qk7bpLD/NBEEXyke+R&#10;nt8crGF7FVCDq/l4VHKmnIRGu23Nvz7cvrvmDKNwjTDgVM2PCvnN4u2bee8rNYEOTKMCIxCHVe9r&#10;3sXoq6JA2SkrcAReOXK2EKyIZIZt0QTRE7o1xaQsr4oeQuMDSIVIr6vByU+I4TWA0LZaqhXInVUu&#10;DqhBGRGJEnbaI1/kbttWyfilbVFFZmpOTGM+qQjdN+ksFnNRbYPwnZanFsRrWnjByQrtqOgFaiWi&#10;YLug/4GyWgZAaONIgi0GIlkRYjEuX2hz3wmvMheSGv1FdPx/sPLzfh2Ybmr+njMnLA388cfPx1+/&#10;2WSWxOk9VhSzdOuQ6MmDu/d3IL8jc7DshNuq3OTD0VPmOGUUf6UkAz2V2PSfoKEYsYuQlTq0wbLW&#10;aP8tJSZwUoMd8miOl9GoQ2SSHqfT66vJbMaZPPsKUSWIlOgDxo8KLEuXmhvtkmqiEvs7jKmlp5D0&#10;7OBWG5MnbxzrqfyHclrmDASjm+RNcRi2m6UJbC/S8uQvEyTP87AAO9cMVYxLeSrv3an0WYBByg00&#10;x3U4q0Qzzc2d9i8tzXM7a/n0zy3+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XRRBDVAAAABgEA&#10;AA8AAAAAAAAAAQAgAAAAIgAAAGRycy9kb3ducmV2LnhtbFBLAQIUABQAAAAIAIdO4kBUuFj85AEA&#10;ALsDAAAOAAAAAAAAAAEAIAAAACQBAABkcnMvZTJvRG9jLnhtbFBLBQYAAAAABgAGAFkBAAB6BQAA&#10;AAA=&#10;">
                <v:fill on="f" focussize="0,0"/>
                <v:stroke weight="1.5pt" color="#000000 [3213]" joinstyle="round"/>
                <v:imagedata o:title=""/>
                <o:lock v:ext="edit" aspectratio="f"/>
              </v:line>
            </w:pict>
          </mc:Fallback>
        </mc:AlternateContent>
      </w:r>
      <w:r>
        <w:rPr>
          <w:rFonts w:hint="eastAsia" w:ascii="宋体" w:hAnsi="宋体" w:eastAsia="宋体"/>
          <w:sz w:val="28"/>
          <w:szCs w:val="28"/>
        </w:rPr>
        <w:t xml:space="preserve">抄 </w:t>
      </w:r>
      <w:r>
        <w:rPr>
          <w:rFonts w:ascii="宋体" w:hAnsi="宋体" w:eastAsia="宋体"/>
          <w:sz w:val="28"/>
          <w:szCs w:val="28"/>
        </w:rPr>
        <w:t xml:space="preserve"> </w:t>
      </w:r>
      <w:r>
        <w:rPr>
          <w:rFonts w:hint="eastAsia" w:ascii="宋体" w:hAnsi="宋体" w:eastAsia="宋体"/>
          <w:sz w:val="28"/>
          <w:szCs w:val="28"/>
        </w:rPr>
        <w:t>送：</w:t>
      </w:r>
    </w:p>
    <w:sectPr>
      <w:type w:val="continuous"/>
      <w:pgSz w:w="11906" w:h="16838"/>
      <w:pgMar w:top="1440" w:right="1797" w:bottom="1440" w:left="1797" w:header="851" w:footer="624" w:gutter="0"/>
      <w:paperSrc w:first="1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1A67"/>
    <w:multiLevelType w:val="multilevel"/>
    <w:tmpl w:val="A1461A67"/>
    <w:lvl w:ilvl="0" w:tentative="0">
      <w:start w:val="1"/>
      <w:numFmt w:val="chineseCountingThousand"/>
      <w:suff w:val="nothing"/>
      <w:lvlText w:val="%1、"/>
      <w:lvlJc w:val="left"/>
      <w:pPr>
        <w:ind w:left="0" w:firstLine="567"/>
      </w:pPr>
      <w:rPr>
        <w:rFonts w:hint="eastAsia"/>
      </w:rPr>
    </w:lvl>
    <w:lvl w:ilvl="1" w:tentative="0">
      <w:start w:val="1"/>
      <w:numFmt w:val="chineseCountingThousand"/>
      <w:suff w:val="nothing"/>
      <w:lvlText w:val="（%2）"/>
      <w:lvlJc w:val="left"/>
      <w:pPr>
        <w:ind w:left="0" w:firstLine="567"/>
      </w:pPr>
      <w:rPr>
        <w:rFonts w:hint="eastAsia"/>
      </w:rPr>
    </w:lvl>
    <w:lvl w:ilvl="2" w:tentative="0">
      <w:start w:val="1"/>
      <w:numFmt w:val="decimal"/>
      <w:suff w:val="nothing"/>
      <w:lvlText w:val="（%2.%3）"/>
      <w:lvlJc w:val="left"/>
      <w:pPr>
        <w:ind w:left="0" w:firstLine="567"/>
      </w:pPr>
      <w:rPr>
        <w:rFonts w:hint="eastAsia"/>
      </w:rPr>
    </w:lvl>
    <w:lvl w:ilvl="3" w:tentative="0">
      <w:start w:val="1"/>
      <w:numFmt w:val="decimal"/>
      <w:suff w:val="space"/>
      <w:lvlText w:val="%4."/>
      <w:lvlJc w:val="left"/>
      <w:pPr>
        <w:ind w:left="0" w:firstLine="567"/>
      </w:pPr>
      <w:rPr>
        <w:rFonts w:hint="eastAsia"/>
      </w:rPr>
    </w:lvl>
    <w:lvl w:ilvl="4" w:tentative="0">
      <w:start w:val="1"/>
      <w:numFmt w:val="decimal"/>
      <w:suff w:val="space"/>
      <w:lvlText w:val="%4.%5"/>
      <w:lvlJc w:val="left"/>
      <w:pPr>
        <w:ind w:left="0" w:firstLine="567"/>
      </w:pPr>
      <w:rPr>
        <w:rFonts w:hint="eastAsia"/>
      </w:rPr>
    </w:lvl>
    <w:lvl w:ilvl="5" w:tentative="0">
      <w:start w:val="1"/>
      <w:numFmt w:val="decimal"/>
      <w:suff w:val="space"/>
      <w:lvlText w:val="%4.%5.%6"/>
      <w:lvlJc w:val="left"/>
      <w:pPr>
        <w:ind w:left="0" w:firstLine="567"/>
      </w:pPr>
      <w:rPr>
        <w:rFonts w:hint="eastAsia"/>
      </w:rPr>
    </w:lvl>
    <w:lvl w:ilvl="6" w:tentative="0">
      <w:start w:val="1"/>
      <w:numFmt w:val="lowerLetter"/>
      <w:suff w:val="space"/>
      <w:lvlText w:val="%7."/>
      <w:lvlJc w:val="left"/>
      <w:pPr>
        <w:ind w:left="0" w:firstLine="567"/>
      </w:pPr>
      <w:rPr>
        <w:rFonts w:hint="eastAsia"/>
      </w:rPr>
    </w:lvl>
    <w:lvl w:ilvl="7" w:tentative="0">
      <w:start w:val="1"/>
      <w:numFmt w:val="decimal"/>
      <w:suff w:val="space"/>
      <w:lvlText w:val="%7.%8"/>
      <w:lvlJc w:val="left"/>
      <w:pPr>
        <w:ind w:left="0" w:firstLine="567"/>
      </w:pPr>
      <w:rPr>
        <w:rFonts w:hint="eastAsia"/>
      </w:rPr>
    </w:lvl>
    <w:lvl w:ilvl="8" w:tentative="0">
      <w:start w:val="1"/>
      <w:numFmt w:val="decimal"/>
      <w:suff w:val="space"/>
      <w:lvlText w:val="%7.%8.%9"/>
      <w:lvlJc w:val="left"/>
      <w:pPr>
        <w:ind w:left="0" w:firstLine="567"/>
      </w:pPr>
      <w:rPr>
        <w:rFonts w:hint="eastAsia"/>
      </w:rPr>
    </w:lvl>
  </w:abstractNum>
  <w:abstractNum w:abstractNumId="1">
    <w:nsid w:val="0EAC8CD5"/>
    <w:multiLevelType w:val="multilevel"/>
    <w:tmpl w:val="0EAC8CD5"/>
    <w:lvl w:ilvl="0" w:tentative="0">
      <w:start w:val="1"/>
      <w:numFmt w:val="chineseCountingThousand"/>
      <w:suff w:val="nothing"/>
      <w:lvlText w:val="%1、"/>
      <w:lvlJc w:val="left"/>
      <w:pPr>
        <w:ind w:left="0" w:firstLine="567"/>
      </w:pPr>
      <w:rPr>
        <w:rFonts w:hint="eastAsia"/>
      </w:rPr>
    </w:lvl>
    <w:lvl w:ilvl="1" w:tentative="0">
      <w:start w:val="1"/>
      <w:numFmt w:val="chineseCountingThousand"/>
      <w:suff w:val="nothing"/>
      <w:lvlText w:val="（%2）"/>
      <w:lvlJc w:val="left"/>
      <w:pPr>
        <w:ind w:left="0" w:firstLine="567"/>
      </w:pPr>
      <w:rPr>
        <w:rFonts w:hint="eastAsia"/>
      </w:rPr>
    </w:lvl>
    <w:lvl w:ilvl="2" w:tentative="0">
      <w:start w:val="1"/>
      <w:numFmt w:val="decimal"/>
      <w:suff w:val="nothing"/>
      <w:lvlText w:val="（%2.%3）"/>
      <w:lvlJc w:val="left"/>
      <w:pPr>
        <w:ind w:left="0" w:firstLine="567"/>
      </w:pPr>
      <w:rPr>
        <w:rFonts w:hint="eastAsia"/>
      </w:rPr>
    </w:lvl>
    <w:lvl w:ilvl="3" w:tentative="0">
      <w:start w:val="1"/>
      <w:numFmt w:val="decimal"/>
      <w:suff w:val="space"/>
      <w:lvlText w:val="%4."/>
      <w:lvlJc w:val="left"/>
      <w:pPr>
        <w:ind w:left="0" w:firstLine="567"/>
      </w:pPr>
      <w:rPr>
        <w:rFonts w:hint="eastAsia"/>
      </w:rPr>
    </w:lvl>
    <w:lvl w:ilvl="4" w:tentative="0">
      <w:start w:val="1"/>
      <w:numFmt w:val="decimal"/>
      <w:suff w:val="space"/>
      <w:lvlText w:val="%4.%5"/>
      <w:lvlJc w:val="left"/>
      <w:pPr>
        <w:ind w:left="0" w:firstLine="567"/>
      </w:pPr>
      <w:rPr>
        <w:rFonts w:hint="eastAsia"/>
      </w:rPr>
    </w:lvl>
    <w:lvl w:ilvl="5" w:tentative="0">
      <w:start w:val="1"/>
      <w:numFmt w:val="decimal"/>
      <w:suff w:val="space"/>
      <w:lvlText w:val="%4.%5.%6"/>
      <w:lvlJc w:val="left"/>
      <w:pPr>
        <w:ind w:left="0" w:firstLine="567"/>
      </w:pPr>
      <w:rPr>
        <w:rFonts w:hint="eastAsia"/>
      </w:rPr>
    </w:lvl>
    <w:lvl w:ilvl="6" w:tentative="0">
      <w:start w:val="1"/>
      <w:numFmt w:val="lowerLetter"/>
      <w:suff w:val="space"/>
      <w:lvlText w:val="%7."/>
      <w:lvlJc w:val="left"/>
      <w:pPr>
        <w:ind w:left="0" w:firstLine="567"/>
      </w:pPr>
      <w:rPr>
        <w:rFonts w:hint="eastAsia"/>
      </w:rPr>
    </w:lvl>
    <w:lvl w:ilvl="7" w:tentative="0">
      <w:start w:val="1"/>
      <w:numFmt w:val="decimal"/>
      <w:suff w:val="space"/>
      <w:lvlText w:val="%7.%8"/>
      <w:lvlJc w:val="left"/>
      <w:pPr>
        <w:ind w:left="0" w:firstLine="567"/>
      </w:pPr>
      <w:rPr>
        <w:rFonts w:hint="eastAsia"/>
      </w:rPr>
    </w:lvl>
    <w:lvl w:ilvl="8" w:tentative="0">
      <w:start w:val="1"/>
      <w:numFmt w:val="decimal"/>
      <w:suff w:val="space"/>
      <w:lvlText w:val="%7.%8.%9"/>
      <w:lvlJc w:val="left"/>
      <w:pPr>
        <w:ind w:left="0" w:firstLine="567"/>
      </w:pPr>
      <w:rPr>
        <w:rFonts w:hint="eastAsia"/>
      </w:rPr>
    </w:lvl>
  </w:abstractNum>
  <w:abstractNum w:abstractNumId="2">
    <w:nsid w:val="736B2482"/>
    <w:multiLevelType w:val="multilevel"/>
    <w:tmpl w:val="736B2482"/>
    <w:lvl w:ilvl="0" w:tentative="0">
      <w:start w:val="1"/>
      <w:numFmt w:val="chineseCountingThousand"/>
      <w:suff w:val="nothing"/>
      <w:lvlText w:val="%1、"/>
      <w:lvlJc w:val="left"/>
      <w:pPr>
        <w:ind w:left="0" w:firstLine="567"/>
      </w:pPr>
      <w:rPr>
        <w:rFonts w:hint="eastAsia"/>
      </w:rPr>
    </w:lvl>
    <w:lvl w:ilvl="1" w:tentative="0">
      <w:start w:val="1"/>
      <w:numFmt w:val="chineseCountingThousand"/>
      <w:suff w:val="nothing"/>
      <w:lvlText w:val="（%2）"/>
      <w:lvlJc w:val="left"/>
      <w:pPr>
        <w:ind w:left="0" w:firstLine="567"/>
      </w:pPr>
      <w:rPr>
        <w:rFonts w:hint="eastAsia"/>
      </w:rPr>
    </w:lvl>
    <w:lvl w:ilvl="2" w:tentative="0">
      <w:start w:val="1"/>
      <w:numFmt w:val="decimal"/>
      <w:suff w:val="nothing"/>
      <w:lvlText w:val="（%2.%3）"/>
      <w:lvlJc w:val="left"/>
      <w:pPr>
        <w:ind w:left="0" w:firstLine="567"/>
      </w:pPr>
      <w:rPr>
        <w:rFonts w:hint="eastAsia"/>
      </w:rPr>
    </w:lvl>
    <w:lvl w:ilvl="3" w:tentative="0">
      <w:start w:val="1"/>
      <w:numFmt w:val="decimal"/>
      <w:suff w:val="space"/>
      <w:lvlText w:val="%4."/>
      <w:lvlJc w:val="left"/>
      <w:pPr>
        <w:ind w:left="0" w:firstLine="567"/>
      </w:pPr>
      <w:rPr>
        <w:rFonts w:hint="eastAsia"/>
      </w:rPr>
    </w:lvl>
    <w:lvl w:ilvl="4" w:tentative="0">
      <w:start w:val="1"/>
      <w:numFmt w:val="decimal"/>
      <w:suff w:val="space"/>
      <w:lvlText w:val="%4.%5"/>
      <w:lvlJc w:val="left"/>
      <w:pPr>
        <w:ind w:left="0" w:firstLine="567"/>
      </w:pPr>
      <w:rPr>
        <w:rFonts w:hint="eastAsia"/>
      </w:rPr>
    </w:lvl>
    <w:lvl w:ilvl="5" w:tentative="0">
      <w:start w:val="1"/>
      <w:numFmt w:val="decimal"/>
      <w:suff w:val="space"/>
      <w:lvlText w:val="%4.%5.%6"/>
      <w:lvlJc w:val="left"/>
      <w:pPr>
        <w:ind w:left="0" w:firstLine="567"/>
      </w:pPr>
      <w:rPr>
        <w:rFonts w:hint="eastAsia"/>
      </w:rPr>
    </w:lvl>
    <w:lvl w:ilvl="6" w:tentative="0">
      <w:start w:val="1"/>
      <w:numFmt w:val="lowerLetter"/>
      <w:suff w:val="space"/>
      <w:lvlText w:val="%7."/>
      <w:lvlJc w:val="left"/>
      <w:pPr>
        <w:ind w:left="0" w:firstLine="567"/>
      </w:pPr>
      <w:rPr>
        <w:rFonts w:hint="eastAsia"/>
      </w:rPr>
    </w:lvl>
    <w:lvl w:ilvl="7" w:tentative="0">
      <w:start w:val="1"/>
      <w:numFmt w:val="decimal"/>
      <w:suff w:val="space"/>
      <w:lvlText w:val="%7.%8"/>
      <w:lvlJc w:val="left"/>
      <w:pPr>
        <w:ind w:left="0" w:firstLine="567"/>
      </w:pPr>
      <w:rPr>
        <w:rFonts w:hint="eastAsia"/>
      </w:rPr>
    </w:lvl>
    <w:lvl w:ilvl="8" w:tentative="0">
      <w:start w:val="1"/>
      <w:numFmt w:val="decimal"/>
      <w:suff w:val="space"/>
      <w:lvlText w:val="%7.%8.%9"/>
      <w:lvlJc w:val="left"/>
      <w:pPr>
        <w:ind w:left="0" w:firstLine="567"/>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21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C42"/>
    <w:rsid w:val="00057D59"/>
    <w:rsid w:val="00066E3B"/>
    <w:rsid w:val="0007661E"/>
    <w:rsid w:val="000B051F"/>
    <w:rsid w:val="000B5744"/>
    <w:rsid w:val="000C33B9"/>
    <w:rsid w:val="000D0880"/>
    <w:rsid w:val="000D18B1"/>
    <w:rsid w:val="000D2701"/>
    <w:rsid w:val="000D63FA"/>
    <w:rsid w:val="00111BB6"/>
    <w:rsid w:val="00114C9B"/>
    <w:rsid w:val="00116F9E"/>
    <w:rsid w:val="00122DB9"/>
    <w:rsid w:val="0012336B"/>
    <w:rsid w:val="00123800"/>
    <w:rsid w:val="00133FC7"/>
    <w:rsid w:val="0013623D"/>
    <w:rsid w:val="0016132C"/>
    <w:rsid w:val="00185C74"/>
    <w:rsid w:val="001970A6"/>
    <w:rsid w:val="001C5B4B"/>
    <w:rsid w:val="0024373A"/>
    <w:rsid w:val="002452BB"/>
    <w:rsid w:val="002574D5"/>
    <w:rsid w:val="00272D1C"/>
    <w:rsid w:val="002859BA"/>
    <w:rsid w:val="002A54CB"/>
    <w:rsid w:val="002C73CA"/>
    <w:rsid w:val="002E3E8E"/>
    <w:rsid w:val="0030435C"/>
    <w:rsid w:val="0031522A"/>
    <w:rsid w:val="003223A7"/>
    <w:rsid w:val="0033628F"/>
    <w:rsid w:val="003373D9"/>
    <w:rsid w:val="00337FA4"/>
    <w:rsid w:val="00346A92"/>
    <w:rsid w:val="0035102B"/>
    <w:rsid w:val="0037134C"/>
    <w:rsid w:val="00381E2C"/>
    <w:rsid w:val="0038456C"/>
    <w:rsid w:val="003A41A6"/>
    <w:rsid w:val="003B53F7"/>
    <w:rsid w:val="003C26F4"/>
    <w:rsid w:val="003D21C4"/>
    <w:rsid w:val="003D6E5F"/>
    <w:rsid w:val="003F104C"/>
    <w:rsid w:val="003F1138"/>
    <w:rsid w:val="003F5234"/>
    <w:rsid w:val="00405A24"/>
    <w:rsid w:val="004110A4"/>
    <w:rsid w:val="0043732F"/>
    <w:rsid w:val="00443857"/>
    <w:rsid w:val="0044669D"/>
    <w:rsid w:val="00451798"/>
    <w:rsid w:val="00455041"/>
    <w:rsid w:val="004A2D3B"/>
    <w:rsid w:val="004B23FC"/>
    <w:rsid w:val="004C537A"/>
    <w:rsid w:val="004F6542"/>
    <w:rsid w:val="00535B99"/>
    <w:rsid w:val="005406CC"/>
    <w:rsid w:val="005477B2"/>
    <w:rsid w:val="005618DB"/>
    <w:rsid w:val="005765D8"/>
    <w:rsid w:val="00595DE0"/>
    <w:rsid w:val="005B60E5"/>
    <w:rsid w:val="005C5D85"/>
    <w:rsid w:val="005D0D60"/>
    <w:rsid w:val="005D1EE2"/>
    <w:rsid w:val="005E0414"/>
    <w:rsid w:val="005E18AD"/>
    <w:rsid w:val="005E18E5"/>
    <w:rsid w:val="006258F2"/>
    <w:rsid w:val="00637C06"/>
    <w:rsid w:val="0065375A"/>
    <w:rsid w:val="00682889"/>
    <w:rsid w:val="00690A36"/>
    <w:rsid w:val="006969D4"/>
    <w:rsid w:val="006A164E"/>
    <w:rsid w:val="006A4CC8"/>
    <w:rsid w:val="006B4D10"/>
    <w:rsid w:val="006E085A"/>
    <w:rsid w:val="00700E24"/>
    <w:rsid w:val="00707A81"/>
    <w:rsid w:val="00744729"/>
    <w:rsid w:val="00754D86"/>
    <w:rsid w:val="007568A6"/>
    <w:rsid w:val="007600C0"/>
    <w:rsid w:val="00775E20"/>
    <w:rsid w:val="007C3332"/>
    <w:rsid w:val="007C7186"/>
    <w:rsid w:val="007D3EC3"/>
    <w:rsid w:val="00800D6C"/>
    <w:rsid w:val="00813E84"/>
    <w:rsid w:val="0081529F"/>
    <w:rsid w:val="00866496"/>
    <w:rsid w:val="00884063"/>
    <w:rsid w:val="00884E4B"/>
    <w:rsid w:val="00894C1A"/>
    <w:rsid w:val="008B1325"/>
    <w:rsid w:val="008B3CC1"/>
    <w:rsid w:val="008C5F5A"/>
    <w:rsid w:val="008E1821"/>
    <w:rsid w:val="008E1D74"/>
    <w:rsid w:val="009204B7"/>
    <w:rsid w:val="00936CB7"/>
    <w:rsid w:val="009536AA"/>
    <w:rsid w:val="00977F27"/>
    <w:rsid w:val="0098045E"/>
    <w:rsid w:val="009918FB"/>
    <w:rsid w:val="0099440A"/>
    <w:rsid w:val="009B1F4C"/>
    <w:rsid w:val="00A147DD"/>
    <w:rsid w:val="00A17454"/>
    <w:rsid w:val="00A26782"/>
    <w:rsid w:val="00A31FE8"/>
    <w:rsid w:val="00A32859"/>
    <w:rsid w:val="00A819B4"/>
    <w:rsid w:val="00AA6219"/>
    <w:rsid w:val="00AB49AF"/>
    <w:rsid w:val="00AB4AE5"/>
    <w:rsid w:val="00AB6985"/>
    <w:rsid w:val="00AC709F"/>
    <w:rsid w:val="00AE265C"/>
    <w:rsid w:val="00B24CB4"/>
    <w:rsid w:val="00B323E3"/>
    <w:rsid w:val="00B33CBB"/>
    <w:rsid w:val="00B35C36"/>
    <w:rsid w:val="00B46BB9"/>
    <w:rsid w:val="00B50466"/>
    <w:rsid w:val="00B874FD"/>
    <w:rsid w:val="00B9294A"/>
    <w:rsid w:val="00BC29FA"/>
    <w:rsid w:val="00BC3947"/>
    <w:rsid w:val="00BC79C9"/>
    <w:rsid w:val="00C03DB8"/>
    <w:rsid w:val="00C24DF1"/>
    <w:rsid w:val="00C73225"/>
    <w:rsid w:val="00C746F7"/>
    <w:rsid w:val="00C76A4E"/>
    <w:rsid w:val="00C802BB"/>
    <w:rsid w:val="00C860A2"/>
    <w:rsid w:val="00C9764A"/>
    <w:rsid w:val="00CA537C"/>
    <w:rsid w:val="00CB75B2"/>
    <w:rsid w:val="00CD0E82"/>
    <w:rsid w:val="00CD32BE"/>
    <w:rsid w:val="00CD6C8B"/>
    <w:rsid w:val="00D31520"/>
    <w:rsid w:val="00D40C4A"/>
    <w:rsid w:val="00D44929"/>
    <w:rsid w:val="00D46D91"/>
    <w:rsid w:val="00D62E10"/>
    <w:rsid w:val="00D9696F"/>
    <w:rsid w:val="00DA39DD"/>
    <w:rsid w:val="00DB38FF"/>
    <w:rsid w:val="00DB72A5"/>
    <w:rsid w:val="00DC2795"/>
    <w:rsid w:val="00DC5186"/>
    <w:rsid w:val="00DD1220"/>
    <w:rsid w:val="00DE5AAC"/>
    <w:rsid w:val="00E15DBB"/>
    <w:rsid w:val="00E212D5"/>
    <w:rsid w:val="00E25B57"/>
    <w:rsid w:val="00E34D5A"/>
    <w:rsid w:val="00E64AE6"/>
    <w:rsid w:val="00E76BD2"/>
    <w:rsid w:val="00EA43B3"/>
    <w:rsid w:val="00EC5C42"/>
    <w:rsid w:val="00ED4F92"/>
    <w:rsid w:val="00EF3FAC"/>
    <w:rsid w:val="00F01C2C"/>
    <w:rsid w:val="00F04672"/>
    <w:rsid w:val="00F065EC"/>
    <w:rsid w:val="00F2259F"/>
    <w:rsid w:val="00F4257E"/>
    <w:rsid w:val="00F739BC"/>
    <w:rsid w:val="00F92281"/>
    <w:rsid w:val="00F94869"/>
    <w:rsid w:val="00F969E4"/>
    <w:rsid w:val="00FB13BE"/>
    <w:rsid w:val="00FC082B"/>
    <w:rsid w:val="00FD37B8"/>
    <w:rsid w:val="00FD7535"/>
    <w:rsid w:val="086B0748"/>
    <w:rsid w:val="08FB5867"/>
    <w:rsid w:val="0AD507F0"/>
    <w:rsid w:val="0AFD0EBC"/>
    <w:rsid w:val="0DCE6B40"/>
    <w:rsid w:val="12394ECF"/>
    <w:rsid w:val="127263BE"/>
    <w:rsid w:val="13313DF9"/>
    <w:rsid w:val="13D749A0"/>
    <w:rsid w:val="14CD14E9"/>
    <w:rsid w:val="15596A7E"/>
    <w:rsid w:val="15F859AE"/>
    <w:rsid w:val="17514043"/>
    <w:rsid w:val="18147845"/>
    <w:rsid w:val="19F202D2"/>
    <w:rsid w:val="1A8D6556"/>
    <w:rsid w:val="1B544B28"/>
    <w:rsid w:val="21A84F98"/>
    <w:rsid w:val="220D03C4"/>
    <w:rsid w:val="22123047"/>
    <w:rsid w:val="22E70D9C"/>
    <w:rsid w:val="23FA39C3"/>
    <w:rsid w:val="27572629"/>
    <w:rsid w:val="294837F2"/>
    <w:rsid w:val="2D7C1CBC"/>
    <w:rsid w:val="318E2B30"/>
    <w:rsid w:val="329F0927"/>
    <w:rsid w:val="3A9640E6"/>
    <w:rsid w:val="3C067321"/>
    <w:rsid w:val="40904395"/>
    <w:rsid w:val="47006184"/>
    <w:rsid w:val="4B5736F5"/>
    <w:rsid w:val="4C9C4894"/>
    <w:rsid w:val="526D41EE"/>
    <w:rsid w:val="549D0BDA"/>
    <w:rsid w:val="56420E70"/>
    <w:rsid w:val="57C934C4"/>
    <w:rsid w:val="5CC46711"/>
    <w:rsid w:val="5DC80482"/>
    <w:rsid w:val="606F72DB"/>
    <w:rsid w:val="63332E47"/>
    <w:rsid w:val="69921986"/>
    <w:rsid w:val="6DBD5529"/>
    <w:rsid w:val="6F6B5F9B"/>
    <w:rsid w:val="7933675D"/>
    <w:rsid w:val="7EDA1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Plain Text"/>
    <w:basedOn w:val="1"/>
    <w:link w:val="15"/>
    <w:qFormat/>
    <w:uiPriority w:val="0"/>
    <w:rPr>
      <w:rFonts w:ascii="宋体" w:hAnsi="Courier New" w:eastAsia="宋体" w:cs="Times New Roman"/>
      <w:szCs w:val="21"/>
      <w:lang w:val="zh-CN"/>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4"/>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文字 字符"/>
    <w:basedOn w:val="9"/>
    <w:link w:val="2"/>
    <w:semiHidden/>
    <w:qFormat/>
    <w:uiPriority w:val="99"/>
  </w:style>
  <w:style w:type="character" w:customStyle="1" w:styleId="14">
    <w:name w:val="批注主题 字符"/>
    <w:basedOn w:val="13"/>
    <w:link w:val="7"/>
    <w:semiHidden/>
    <w:qFormat/>
    <w:uiPriority w:val="99"/>
    <w:rPr>
      <w:b/>
      <w:bCs/>
    </w:rPr>
  </w:style>
  <w:style w:type="character" w:customStyle="1" w:styleId="15">
    <w:name w:val="纯文本 字符"/>
    <w:basedOn w:val="9"/>
    <w:link w:val="3"/>
    <w:qFormat/>
    <w:uiPriority w:val="0"/>
    <w:rPr>
      <w:rFonts w:ascii="宋体" w:hAnsi="Courier New" w:eastAsia="宋体" w:cs="Times New Roman"/>
      <w:szCs w:val="21"/>
      <w:lang w:val="zh-CN"/>
    </w:rPr>
  </w:style>
  <w:style w:type="paragraph" w:styleId="16">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2852</Words>
  <Characters>2977</Characters>
  <Lines>15</Lines>
  <Paragraphs>4</Paragraphs>
  <TotalTime>34</TotalTime>
  <ScaleCrop>false</ScaleCrop>
  <LinksUpToDate>false</LinksUpToDate>
  <CharactersWithSpaces>2980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2022-06-09T06:16:00Z</dcterms:created>
  <dc:creator>zzc</dc:creator>
  <cp:lastModifiedBy>花道</cp:lastModifiedBy>
  <cp:lastPrinted>2025-06-23T08:35:00Z</cp:lastPrinted>
  <dcterms:modified xsi:type="dcterms:W3CDTF">2026-07-01T06:34:50Z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6C576D2B3F954641B71E4D865053AD79_12</vt:lpwstr>
  </property>
  <property fmtid="{D5CDD505-2E9C-101B-9397-08002B2CF9AE}" pid="4" name="KSOTemplateDocerSaveRecord">
    <vt:lpwstr>eyJoZGlkIjoiNWY3ZjUyODYyNDJkMWFlZjQ5ZGU2ZWVlMDY4ZDg4NWYiLCJ1c2VySWQiOiIxMDIxODY2OTg4In0=</vt:lpwstr>
  </property>
</Properties>
</file>